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A22E0" w:rsidRPr="00E07116">
        <w:tblPrEx>
          <w:tblCellMar>
            <w:top w:w="0" w:type="dxa"/>
            <w:bottom w:w="0" w:type="dxa"/>
          </w:tblCellMar>
        </w:tblPrEx>
        <w:tc>
          <w:tcPr>
            <w:tcW w:w="9160" w:type="dxa"/>
            <w:shd w:val="clear" w:color="auto" w:fill="E1E0D4"/>
          </w:tcPr>
          <w:p w:rsidR="007A22E0" w:rsidRPr="00E07116" w:rsidRDefault="007A22E0" w:rsidP="007A22E0">
            <w:pPr>
              <w:pStyle w:val="En-tte"/>
              <w:tabs>
                <w:tab w:val="clear" w:pos="4320"/>
                <w:tab w:val="clear" w:pos="8640"/>
              </w:tabs>
              <w:rPr>
                <w:rFonts w:ascii="Times New Roman" w:hAnsi="Times New Roman"/>
                <w:sz w:val="28"/>
                <w:lang w:val="en-CA" w:bidi="ar-SA"/>
              </w:rPr>
            </w:pPr>
            <w:bookmarkStart w:id="0" w:name="_GoBack"/>
            <w:bookmarkEnd w:id="0"/>
          </w:p>
          <w:p w:rsidR="007A22E0" w:rsidRPr="00E07116" w:rsidRDefault="007A22E0">
            <w:pPr>
              <w:ind w:firstLine="0"/>
              <w:jc w:val="center"/>
              <w:rPr>
                <w:b/>
                <w:lang w:bidi="ar-SA"/>
              </w:rPr>
            </w:pPr>
          </w:p>
          <w:p w:rsidR="007A22E0" w:rsidRDefault="007A22E0" w:rsidP="007A22E0">
            <w:pPr>
              <w:ind w:firstLine="0"/>
              <w:jc w:val="center"/>
              <w:rPr>
                <w:b/>
                <w:sz w:val="20"/>
                <w:lang w:bidi="ar-SA"/>
              </w:rPr>
            </w:pPr>
          </w:p>
          <w:p w:rsidR="007A22E0" w:rsidRDefault="007A22E0" w:rsidP="007A22E0">
            <w:pPr>
              <w:ind w:firstLine="0"/>
              <w:jc w:val="center"/>
              <w:rPr>
                <w:b/>
                <w:sz w:val="20"/>
                <w:lang w:bidi="ar-SA"/>
              </w:rPr>
            </w:pPr>
          </w:p>
          <w:p w:rsidR="007A22E0" w:rsidRDefault="007A22E0" w:rsidP="007A22E0">
            <w:pPr>
              <w:ind w:firstLine="0"/>
              <w:jc w:val="center"/>
              <w:rPr>
                <w:b/>
                <w:sz w:val="20"/>
                <w:lang w:bidi="ar-SA"/>
              </w:rPr>
            </w:pPr>
          </w:p>
          <w:p w:rsidR="007A22E0" w:rsidRDefault="007A22E0" w:rsidP="007A22E0">
            <w:pPr>
              <w:ind w:firstLine="0"/>
              <w:jc w:val="center"/>
              <w:rPr>
                <w:b/>
                <w:sz w:val="36"/>
              </w:rPr>
            </w:pPr>
            <w:r>
              <w:rPr>
                <w:sz w:val="36"/>
              </w:rPr>
              <w:t>Marcel FOURNIER</w:t>
            </w:r>
          </w:p>
          <w:p w:rsidR="007A22E0" w:rsidRDefault="007A22E0" w:rsidP="007A22E0">
            <w:pPr>
              <w:ind w:firstLine="0"/>
              <w:jc w:val="center"/>
              <w:rPr>
                <w:sz w:val="20"/>
                <w:lang w:bidi="ar-SA"/>
              </w:rPr>
            </w:pPr>
            <w:r>
              <w:rPr>
                <w:sz w:val="20"/>
                <w:lang w:bidi="ar-SA"/>
              </w:rPr>
              <w:t>Sociologue, département de sociologie, Université de Montréal</w:t>
            </w:r>
          </w:p>
          <w:p w:rsidR="007A22E0" w:rsidRPr="00F3780C" w:rsidRDefault="007A22E0" w:rsidP="007A22E0">
            <w:pPr>
              <w:ind w:firstLine="0"/>
              <w:jc w:val="center"/>
              <w:rPr>
                <w:sz w:val="20"/>
                <w:lang w:bidi="ar-SA"/>
              </w:rPr>
            </w:pPr>
          </w:p>
          <w:p w:rsidR="007A22E0" w:rsidRPr="00AA0F60" w:rsidRDefault="007A22E0" w:rsidP="007A22E0">
            <w:pPr>
              <w:pStyle w:val="Corpsdetexte"/>
              <w:widowControl w:val="0"/>
              <w:spacing w:before="0" w:after="0"/>
              <w:rPr>
                <w:sz w:val="44"/>
                <w:lang w:bidi="ar-SA"/>
              </w:rPr>
            </w:pPr>
            <w:r w:rsidRPr="00AA0F60">
              <w:rPr>
                <w:sz w:val="44"/>
                <w:lang w:bidi="ar-SA"/>
              </w:rPr>
              <w:t>(</w:t>
            </w:r>
            <w:r>
              <w:rPr>
                <w:sz w:val="44"/>
                <w:lang w:bidi="ar-SA"/>
              </w:rPr>
              <w:t>1977</w:t>
            </w:r>
            <w:r w:rsidRPr="00AA0F60">
              <w:rPr>
                <w:sz w:val="44"/>
                <w:lang w:bidi="ar-SA"/>
              </w:rPr>
              <w:t>)</w:t>
            </w:r>
          </w:p>
          <w:p w:rsidR="007A22E0" w:rsidRDefault="007A22E0" w:rsidP="007A22E0">
            <w:pPr>
              <w:pStyle w:val="Corpsdetexte"/>
              <w:widowControl w:val="0"/>
              <w:spacing w:before="0" w:after="0"/>
              <w:rPr>
                <w:color w:val="FF0000"/>
                <w:sz w:val="24"/>
                <w:lang w:bidi="ar-SA"/>
              </w:rPr>
            </w:pPr>
          </w:p>
          <w:p w:rsidR="007A22E0" w:rsidRDefault="007A22E0" w:rsidP="007A22E0">
            <w:pPr>
              <w:pStyle w:val="Corpsdetexte"/>
              <w:widowControl w:val="0"/>
              <w:spacing w:before="0" w:after="0"/>
              <w:rPr>
                <w:color w:val="FF0000"/>
                <w:sz w:val="24"/>
                <w:lang w:bidi="ar-SA"/>
              </w:rPr>
            </w:pPr>
          </w:p>
          <w:p w:rsidR="007A22E0" w:rsidRDefault="007A22E0" w:rsidP="007A22E0">
            <w:pPr>
              <w:pStyle w:val="Corpsdetexte"/>
              <w:widowControl w:val="0"/>
              <w:spacing w:before="0" w:after="0"/>
              <w:rPr>
                <w:color w:val="FF0000"/>
                <w:sz w:val="24"/>
                <w:lang w:bidi="ar-SA"/>
              </w:rPr>
            </w:pPr>
          </w:p>
          <w:p w:rsidR="007A22E0" w:rsidRPr="009A1926" w:rsidRDefault="007A22E0" w:rsidP="007A22E0">
            <w:pPr>
              <w:pStyle w:val="Titlest"/>
            </w:pPr>
            <w:r w:rsidRPr="009A1926">
              <w:t>“</w:t>
            </w:r>
            <w:r>
              <w:t>Structures universitaires</w:t>
            </w:r>
            <w:r>
              <w:br/>
              <w:t>et pratiques syndicales</w:t>
            </w:r>
            <w:r>
              <w:br/>
              <w:t>à l’Université de Montréal</w:t>
            </w:r>
            <w:r w:rsidRPr="009A1926">
              <w:t>.”</w:t>
            </w:r>
          </w:p>
          <w:p w:rsidR="007A22E0" w:rsidRDefault="007A22E0" w:rsidP="007A22E0">
            <w:pPr>
              <w:widowControl w:val="0"/>
              <w:ind w:firstLine="0"/>
              <w:jc w:val="center"/>
              <w:rPr>
                <w:lang w:bidi="ar-SA"/>
              </w:rPr>
            </w:pPr>
          </w:p>
          <w:p w:rsidR="007A22E0" w:rsidRDefault="007A22E0" w:rsidP="007A22E0">
            <w:pPr>
              <w:widowControl w:val="0"/>
              <w:ind w:firstLine="0"/>
              <w:jc w:val="center"/>
              <w:rPr>
                <w:lang w:bidi="ar-SA"/>
              </w:rPr>
            </w:pPr>
          </w:p>
          <w:p w:rsidR="007A22E0" w:rsidRDefault="007A22E0" w:rsidP="007A22E0">
            <w:pPr>
              <w:widowControl w:val="0"/>
              <w:ind w:firstLine="0"/>
              <w:jc w:val="center"/>
              <w:rPr>
                <w:lang w:bidi="ar-SA"/>
              </w:rPr>
            </w:pPr>
          </w:p>
          <w:p w:rsidR="007A22E0" w:rsidRDefault="007A22E0" w:rsidP="007A22E0">
            <w:pPr>
              <w:widowControl w:val="0"/>
              <w:ind w:firstLine="0"/>
              <w:jc w:val="center"/>
              <w:rPr>
                <w:lang w:bidi="ar-SA"/>
              </w:rPr>
            </w:pPr>
          </w:p>
          <w:p w:rsidR="007A22E0" w:rsidRDefault="007A22E0" w:rsidP="007A22E0">
            <w:pPr>
              <w:widowControl w:val="0"/>
              <w:ind w:firstLine="0"/>
              <w:jc w:val="center"/>
              <w:rPr>
                <w:lang w:bidi="ar-SA"/>
              </w:rPr>
            </w:pPr>
          </w:p>
          <w:p w:rsidR="007A22E0" w:rsidRDefault="007A22E0" w:rsidP="007A22E0">
            <w:pPr>
              <w:widowControl w:val="0"/>
              <w:ind w:firstLine="0"/>
              <w:jc w:val="center"/>
              <w:rPr>
                <w:sz w:val="20"/>
                <w:lang w:bidi="ar-SA"/>
              </w:rPr>
            </w:pPr>
          </w:p>
          <w:p w:rsidR="007A22E0" w:rsidRPr="00384B20" w:rsidRDefault="007A22E0">
            <w:pPr>
              <w:widowControl w:val="0"/>
              <w:ind w:firstLine="0"/>
              <w:jc w:val="center"/>
              <w:rPr>
                <w:sz w:val="20"/>
                <w:lang w:bidi="ar-SA"/>
              </w:rPr>
            </w:pPr>
          </w:p>
          <w:p w:rsidR="007A22E0" w:rsidRPr="00384B20" w:rsidRDefault="007A22E0">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A22E0" w:rsidRPr="00E07116" w:rsidRDefault="007A22E0">
            <w:pPr>
              <w:widowControl w:val="0"/>
              <w:ind w:firstLine="0"/>
              <w:jc w:val="both"/>
              <w:rPr>
                <w:lang w:bidi="ar-SA"/>
              </w:rPr>
            </w:pPr>
          </w:p>
          <w:p w:rsidR="007A22E0" w:rsidRPr="00E07116" w:rsidRDefault="007A22E0">
            <w:pPr>
              <w:widowControl w:val="0"/>
              <w:ind w:firstLine="0"/>
              <w:jc w:val="both"/>
              <w:rPr>
                <w:lang w:bidi="ar-SA"/>
              </w:rPr>
            </w:pPr>
          </w:p>
          <w:p w:rsidR="007A22E0" w:rsidRDefault="007A22E0">
            <w:pPr>
              <w:widowControl w:val="0"/>
              <w:ind w:firstLine="0"/>
              <w:jc w:val="both"/>
              <w:rPr>
                <w:lang w:bidi="ar-SA"/>
              </w:rPr>
            </w:pPr>
          </w:p>
          <w:p w:rsidR="007A22E0" w:rsidRDefault="007A22E0">
            <w:pPr>
              <w:widowControl w:val="0"/>
              <w:ind w:firstLine="0"/>
              <w:jc w:val="both"/>
              <w:rPr>
                <w:lang w:bidi="ar-SA"/>
              </w:rPr>
            </w:pPr>
          </w:p>
          <w:p w:rsidR="007A22E0" w:rsidRDefault="007A22E0">
            <w:pPr>
              <w:widowControl w:val="0"/>
              <w:ind w:firstLine="0"/>
              <w:jc w:val="both"/>
              <w:rPr>
                <w:lang w:bidi="ar-SA"/>
              </w:rPr>
            </w:pPr>
          </w:p>
          <w:p w:rsidR="007A22E0" w:rsidRDefault="007A22E0">
            <w:pPr>
              <w:widowControl w:val="0"/>
              <w:ind w:firstLine="0"/>
              <w:jc w:val="both"/>
              <w:rPr>
                <w:lang w:bidi="ar-SA"/>
              </w:rPr>
            </w:pPr>
          </w:p>
          <w:p w:rsidR="007A22E0" w:rsidRDefault="007A22E0">
            <w:pPr>
              <w:widowControl w:val="0"/>
              <w:ind w:firstLine="0"/>
              <w:jc w:val="both"/>
              <w:rPr>
                <w:lang w:bidi="ar-SA"/>
              </w:rPr>
            </w:pPr>
          </w:p>
          <w:p w:rsidR="007A22E0" w:rsidRPr="00E07116" w:rsidRDefault="007A22E0">
            <w:pPr>
              <w:widowControl w:val="0"/>
              <w:ind w:firstLine="0"/>
              <w:jc w:val="both"/>
              <w:rPr>
                <w:lang w:bidi="ar-SA"/>
              </w:rPr>
            </w:pPr>
          </w:p>
          <w:p w:rsidR="007A22E0" w:rsidRPr="00E07116" w:rsidRDefault="007A22E0">
            <w:pPr>
              <w:ind w:firstLine="0"/>
              <w:jc w:val="both"/>
              <w:rPr>
                <w:lang w:bidi="ar-SA"/>
              </w:rPr>
            </w:pPr>
          </w:p>
        </w:tc>
      </w:tr>
    </w:tbl>
    <w:p w:rsidR="007A22E0" w:rsidRDefault="007A22E0" w:rsidP="007A22E0">
      <w:pPr>
        <w:ind w:firstLine="0"/>
        <w:jc w:val="both"/>
      </w:pPr>
      <w:r w:rsidRPr="00E07116">
        <w:br w:type="page"/>
      </w:r>
    </w:p>
    <w:p w:rsidR="007A22E0" w:rsidRDefault="007A22E0" w:rsidP="007A22E0">
      <w:pPr>
        <w:ind w:firstLine="0"/>
        <w:jc w:val="both"/>
      </w:pPr>
    </w:p>
    <w:p w:rsidR="007A22E0" w:rsidRDefault="007A22E0" w:rsidP="007A22E0">
      <w:pPr>
        <w:ind w:firstLine="0"/>
        <w:jc w:val="both"/>
      </w:pPr>
    </w:p>
    <w:p w:rsidR="007A22E0" w:rsidRDefault="007A22E0" w:rsidP="007A22E0">
      <w:pPr>
        <w:ind w:firstLine="0"/>
        <w:jc w:val="both"/>
      </w:pPr>
    </w:p>
    <w:p w:rsidR="007A22E0" w:rsidRDefault="004A7171" w:rsidP="007A22E0">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7A22E0" w:rsidRDefault="007A22E0" w:rsidP="007A22E0">
      <w:pPr>
        <w:ind w:firstLine="0"/>
        <w:jc w:val="right"/>
      </w:pPr>
      <w:hyperlink r:id="rId9" w:history="1">
        <w:r w:rsidRPr="00302466">
          <w:rPr>
            <w:rStyle w:val="Lienhypertexte"/>
          </w:rPr>
          <w:t>http://classiques.uqac.ca/</w:t>
        </w:r>
      </w:hyperlink>
      <w:r>
        <w:t xml:space="preserve"> </w:t>
      </w:r>
    </w:p>
    <w:p w:rsidR="007A22E0" w:rsidRDefault="007A22E0" w:rsidP="007A22E0">
      <w:pPr>
        <w:ind w:firstLine="0"/>
        <w:jc w:val="both"/>
      </w:pPr>
    </w:p>
    <w:p w:rsidR="007A22E0" w:rsidRDefault="007A22E0" w:rsidP="007A22E0">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7A22E0" w:rsidRDefault="007A22E0" w:rsidP="007A22E0">
      <w:pPr>
        <w:ind w:firstLine="0"/>
        <w:jc w:val="both"/>
      </w:pPr>
    </w:p>
    <w:p w:rsidR="007A22E0" w:rsidRDefault="007A22E0" w:rsidP="007A22E0">
      <w:pPr>
        <w:ind w:firstLine="0"/>
        <w:jc w:val="both"/>
      </w:pPr>
    </w:p>
    <w:p w:rsidR="007A22E0" w:rsidRDefault="004A7171" w:rsidP="007A22E0">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7A22E0" w:rsidRDefault="007A22E0" w:rsidP="007A22E0">
      <w:pPr>
        <w:ind w:firstLine="0"/>
        <w:jc w:val="both"/>
      </w:pPr>
      <w:hyperlink r:id="rId11" w:history="1">
        <w:r w:rsidRPr="00302466">
          <w:rPr>
            <w:rStyle w:val="Lienhypertexte"/>
          </w:rPr>
          <w:t>http://bibliotheque.uqac.ca/</w:t>
        </w:r>
      </w:hyperlink>
      <w:r>
        <w:t xml:space="preserve"> </w:t>
      </w:r>
    </w:p>
    <w:p w:rsidR="007A22E0" w:rsidRDefault="007A22E0" w:rsidP="007A22E0">
      <w:pPr>
        <w:ind w:firstLine="0"/>
        <w:jc w:val="both"/>
      </w:pPr>
    </w:p>
    <w:p w:rsidR="007A22E0" w:rsidRDefault="007A22E0" w:rsidP="007A22E0">
      <w:pPr>
        <w:ind w:firstLine="0"/>
        <w:jc w:val="both"/>
      </w:pPr>
    </w:p>
    <w:p w:rsidR="007A22E0" w:rsidRDefault="007A22E0" w:rsidP="007A22E0">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7A22E0" w:rsidRPr="00E07116" w:rsidRDefault="007A22E0" w:rsidP="007A22E0">
      <w:pPr>
        <w:widowControl w:val="0"/>
        <w:autoSpaceDE w:val="0"/>
        <w:autoSpaceDN w:val="0"/>
        <w:adjustRightInd w:val="0"/>
        <w:rPr>
          <w:szCs w:val="32"/>
        </w:rPr>
      </w:pPr>
      <w:r w:rsidRPr="00E07116">
        <w:br w:type="page"/>
      </w:r>
    </w:p>
    <w:p w:rsidR="007A22E0" w:rsidRPr="005B6592" w:rsidRDefault="007A22E0">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7A22E0" w:rsidRPr="00E07116" w:rsidRDefault="007A22E0">
      <w:pPr>
        <w:widowControl w:val="0"/>
        <w:autoSpaceDE w:val="0"/>
        <w:autoSpaceDN w:val="0"/>
        <w:adjustRightInd w:val="0"/>
        <w:rPr>
          <w:szCs w:val="32"/>
        </w:rPr>
      </w:pPr>
    </w:p>
    <w:p w:rsidR="007A22E0" w:rsidRPr="00E07116" w:rsidRDefault="007A22E0">
      <w:pPr>
        <w:widowControl w:val="0"/>
        <w:autoSpaceDE w:val="0"/>
        <w:autoSpaceDN w:val="0"/>
        <w:adjustRightInd w:val="0"/>
        <w:jc w:val="both"/>
        <w:rPr>
          <w:color w:val="1C1C1C"/>
          <w:szCs w:val="26"/>
        </w:rPr>
      </w:pPr>
    </w:p>
    <w:p w:rsidR="007A22E0" w:rsidRPr="00E07116" w:rsidRDefault="007A22E0">
      <w:pPr>
        <w:widowControl w:val="0"/>
        <w:autoSpaceDE w:val="0"/>
        <w:autoSpaceDN w:val="0"/>
        <w:adjustRightInd w:val="0"/>
        <w:jc w:val="both"/>
        <w:rPr>
          <w:color w:val="1C1C1C"/>
          <w:szCs w:val="26"/>
        </w:rPr>
      </w:pPr>
    </w:p>
    <w:p w:rsidR="007A22E0" w:rsidRPr="00E07116" w:rsidRDefault="007A22E0">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7A22E0" w:rsidRPr="00E07116" w:rsidRDefault="007A22E0">
      <w:pPr>
        <w:widowControl w:val="0"/>
        <w:autoSpaceDE w:val="0"/>
        <w:autoSpaceDN w:val="0"/>
        <w:adjustRightInd w:val="0"/>
        <w:jc w:val="both"/>
        <w:rPr>
          <w:color w:val="1C1C1C"/>
          <w:szCs w:val="26"/>
        </w:rPr>
      </w:pPr>
    </w:p>
    <w:p w:rsidR="007A22E0" w:rsidRPr="00E07116" w:rsidRDefault="007A22E0" w:rsidP="007A22E0">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7A22E0" w:rsidRPr="00E07116" w:rsidRDefault="007A22E0" w:rsidP="007A22E0">
      <w:pPr>
        <w:widowControl w:val="0"/>
        <w:autoSpaceDE w:val="0"/>
        <w:autoSpaceDN w:val="0"/>
        <w:adjustRightInd w:val="0"/>
        <w:jc w:val="both"/>
        <w:rPr>
          <w:color w:val="1C1C1C"/>
          <w:szCs w:val="26"/>
        </w:rPr>
      </w:pPr>
    </w:p>
    <w:p w:rsidR="007A22E0" w:rsidRPr="00E07116" w:rsidRDefault="007A22E0" w:rsidP="007A22E0">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7A22E0" w:rsidRPr="00E07116" w:rsidRDefault="007A22E0" w:rsidP="007A22E0">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rsidR="007A22E0" w:rsidRPr="00E07116" w:rsidRDefault="007A22E0" w:rsidP="007A22E0">
      <w:pPr>
        <w:widowControl w:val="0"/>
        <w:autoSpaceDE w:val="0"/>
        <w:autoSpaceDN w:val="0"/>
        <w:adjustRightInd w:val="0"/>
        <w:jc w:val="both"/>
        <w:rPr>
          <w:color w:val="1C1C1C"/>
          <w:szCs w:val="26"/>
        </w:rPr>
      </w:pPr>
    </w:p>
    <w:p w:rsidR="007A22E0" w:rsidRPr="00E07116" w:rsidRDefault="007A22E0">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7A22E0" w:rsidRPr="00E07116" w:rsidRDefault="007A22E0">
      <w:pPr>
        <w:widowControl w:val="0"/>
        <w:autoSpaceDE w:val="0"/>
        <w:autoSpaceDN w:val="0"/>
        <w:adjustRightInd w:val="0"/>
        <w:jc w:val="both"/>
        <w:rPr>
          <w:color w:val="1C1C1C"/>
          <w:szCs w:val="26"/>
        </w:rPr>
      </w:pPr>
    </w:p>
    <w:p w:rsidR="007A22E0" w:rsidRPr="00E07116" w:rsidRDefault="007A22E0">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7A22E0" w:rsidRPr="00E07116" w:rsidRDefault="007A22E0">
      <w:pPr>
        <w:rPr>
          <w:b/>
          <w:color w:val="1C1C1C"/>
          <w:szCs w:val="26"/>
        </w:rPr>
      </w:pPr>
    </w:p>
    <w:p w:rsidR="007A22E0" w:rsidRPr="00E07116" w:rsidRDefault="007A22E0">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7A22E0" w:rsidRPr="00E07116" w:rsidRDefault="007A22E0">
      <w:pPr>
        <w:rPr>
          <w:b/>
          <w:color w:val="1C1C1C"/>
          <w:szCs w:val="26"/>
        </w:rPr>
      </w:pPr>
    </w:p>
    <w:p w:rsidR="007A22E0" w:rsidRPr="00E07116" w:rsidRDefault="007A22E0">
      <w:pPr>
        <w:rPr>
          <w:color w:val="1C1C1C"/>
          <w:szCs w:val="26"/>
        </w:rPr>
      </w:pPr>
      <w:r w:rsidRPr="00E07116">
        <w:rPr>
          <w:color w:val="1C1C1C"/>
          <w:szCs w:val="26"/>
        </w:rPr>
        <w:t>Jean-Marie Tremblay, sociologue</w:t>
      </w:r>
    </w:p>
    <w:p w:rsidR="007A22E0" w:rsidRPr="00E07116" w:rsidRDefault="007A22E0">
      <w:pPr>
        <w:rPr>
          <w:color w:val="1C1C1C"/>
          <w:szCs w:val="26"/>
        </w:rPr>
      </w:pPr>
      <w:r w:rsidRPr="00E07116">
        <w:rPr>
          <w:color w:val="1C1C1C"/>
          <w:szCs w:val="26"/>
        </w:rPr>
        <w:t>Fondateur et Président-directeur général,</w:t>
      </w:r>
    </w:p>
    <w:p w:rsidR="007A22E0" w:rsidRPr="00E07116" w:rsidRDefault="007A22E0">
      <w:pPr>
        <w:rPr>
          <w:color w:val="000080"/>
        </w:rPr>
      </w:pPr>
      <w:r w:rsidRPr="00E07116">
        <w:rPr>
          <w:color w:val="000080"/>
          <w:szCs w:val="26"/>
        </w:rPr>
        <w:t>LES CLASSIQUES DES SCIENCES SOCIALES.</w:t>
      </w:r>
    </w:p>
    <w:p w:rsidR="007A22E0" w:rsidRPr="00CF4C8E" w:rsidRDefault="007A22E0" w:rsidP="007A22E0">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7A22E0" w:rsidRPr="00CF4C8E" w:rsidRDefault="007A22E0" w:rsidP="007A22E0">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7A22E0" w:rsidRPr="00CF4C8E" w:rsidRDefault="007A22E0" w:rsidP="007A22E0">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7A22E0" w:rsidRPr="00CF4C8E" w:rsidRDefault="007A22E0" w:rsidP="007A22E0">
      <w:pPr>
        <w:ind w:left="20" w:hanging="20"/>
        <w:jc w:val="both"/>
        <w:rPr>
          <w:sz w:val="24"/>
        </w:rPr>
      </w:pPr>
      <w:proofErr w:type="gramStart"/>
      <w:r w:rsidRPr="00CF4C8E">
        <w:rPr>
          <w:sz w:val="24"/>
        </w:rPr>
        <w:t>à</w:t>
      </w:r>
      <w:proofErr w:type="gramEnd"/>
      <w:r w:rsidRPr="00CF4C8E">
        <w:rPr>
          <w:sz w:val="24"/>
        </w:rPr>
        <w:t xml:space="preserve"> partir du texte de :</w:t>
      </w:r>
    </w:p>
    <w:p w:rsidR="007A22E0" w:rsidRDefault="007A22E0" w:rsidP="007A22E0">
      <w:pPr>
        <w:ind w:firstLine="0"/>
        <w:jc w:val="both"/>
        <w:rPr>
          <w:sz w:val="24"/>
        </w:rPr>
      </w:pPr>
    </w:p>
    <w:p w:rsidR="007A22E0" w:rsidRDefault="007A22E0" w:rsidP="007A22E0">
      <w:pPr>
        <w:ind w:firstLine="0"/>
        <w:jc w:val="both"/>
        <w:rPr>
          <w:sz w:val="24"/>
        </w:rPr>
      </w:pPr>
    </w:p>
    <w:p w:rsidR="007A22E0" w:rsidRPr="00707A24" w:rsidRDefault="007A22E0" w:rsidP="007A22E0">
      <w:pPr>
        <w:ind w:firstLine="0"/>
        <w:jc w:val="both"/>
      </w:pPr>
      <w:r>
        <w:t>Marcel FOURNIER</w:t>
      </w:r>
    </w:p>
    <w:p w:rsidR="007A22E0" w:rsidRPr="00707A24" w:rsidRDefault="007A22E0" w:rsidP="007A22E0">
      <w:pPr>
        <w:ind w:firstLine="0"/>
        <w:jc w:val="both"/>
      </w:pPr>
    </w:p>
    <w:p w:rsidR="007A22E0" w:rsidRPr="009A1926" w:rsidRDefault="007A22E0" w:rsidP="007A22E0">
      <w:pPr>
        <w:ind w:firstLine="0"/>
        <w:jc w:val="both"/>
        <w:rPr>
          <w:b/>
          <w:color w:val="0000FF"/>
        </w:rPr>
      </w:pPr>
      <w:r w:rsidRPr="009A1926">
        <w:rPr>
          <w:b/>
          <w:color w:val="0000FF"/>
        </w:rPr>
        <w:t>“</w:t>
      </w:r>
      <w:r w:rsidRPr="009A1926">
        <w:rPr>
          <w:b/>
          <w:i/>
          <w:color w:val="0000FF"/>
        </w:rPr>
        <w:t>Structures universitaires et pratiques syndicales à l’Université de Montréal</w:t>
      </w:r>
      <w:r w:rsidRPr="009A1926">
        <w:rPr>
          <w:b/>
          <w:color w:val="0000FF"/>
        </w:rPr>
        <w:t>.”</w:t>
      </w:r>
    </w:p>
    <w:p w:rsidR="007A22E0" w:rsidRPr="00707A24" w:rsidRDefault="007A22E0" w:rsidP="007A22E0">
      <w:pPr>
        <w:ind w:firstLine="0"/>
        <w:jc w:val="both"/>
      </w:pPr>
    </w:p>
    <w:p w:rsidR="007A22E0" w:rsidRPr="00384B20" w:rsidRDefault="007A22E0" w:rsidP="007A22E0">
      <w:pPr>
        <w:ind w:firstLine="0"/>
        <w:jc w:val="both"/>
        <w:rPr>
          <w:sz w:val="24"/>
        </w:rPr>
      </w:pPr>
    </w:p>
    <w:p w:rsidR="007A22E0" w:rsidRPr="00707A24" w:rsidRDefault="007A22E0" w:rsidP="007A22E0">
      <w:pPr>
        <w:ind w:firstLine="0"/>
        <w:jc w:val="both"/>
      </w:pPr>
      <w:r>
        <w:t>In ouvrage sous</w:t>
      </w:r>
      <w:r w:rsidRPr="00707A24">
        <w:t xml:space="preserve"> la direction d’André Vidricaire, </w:t>
      </w:r>
      <w:r w:rsidRPr="00707A24">
        <w:rPr>
          <w:b/>
          <w:color w:val="000080"/>
        </w:rPr>
        <w:t xml:space="preserve">Le syndicalisme universitaire et l’État. </w:t>
      </w:r>
      <w:r w:rsidRPr="00707A24">
        <w:t xml:space="preserve">Un collectif d’universitaires, pp. </w:t>
      </w:r>
      <w:r>
        <w:t>29-36</w:t>
      </w:r>
      <w:r w:rsidRPr="00707A24">
        <w:t>. Mo</w:t>
      </w:r>
      <w:r w:rsidRPr="00707A24">
        <w:t>n</w:t>
      </w:r>
      <w:r w:rsidRPr="00707A24">
        <w:t>tréal : Les Éd</w:t>
      </w:r>
      <w:r w:rsidRPr="00707A24">
        <w:t>i</w:t>
      </w:r>
      <w:r w:rsidRPr="00707A24">
        <w:t>tions Hurtubise HMH, ltée, 1977, 208 pp.</w:t>
      </w:r>
    </w:p>
    <w:p w:rsidR="007A22E0" w:rsidRDefault="007A22E0" w:rsidP="007A22E0">
      <w:pPr>
        <w:ind w:hanging="20"/>
        <w:jc w:val="both"/>
        <w:rPr>
          <w:sz w:val="24"/>
        </w:rPr>
      </w:pPr>
    </w:p>
    <w:p w:rsidR="007A22E0" w:rsidRPr="00384B20" w:rsidRDefault="007A22E0" w:rsidP="007A22E0">
      <w:pPr>
        <w:ind w:hanging="20"/>
        <w:jc w:val="both"/>
        <w:rPr>
          <w:sz w:val="24"/>
        </w:rPr>
      </w:pPr>
    </w:p>
    <w:p w:rsidR="007A22E0" w:rsidRPr="00384B20" w:rsidRDefault="004A7171" w:rsidP="007A22E0">
      <w:pPr>
        <w:tabs>
          <w:tab w:val="left" w:pos="3150"/>
        </w:tabs>
        <w:ind w:firstLine="0"/>
        <w:rPr>
          <w:sz w:val="24"/>
        </w:rPr>
      </w:pPr>
      <w:r w:rsidRPr="00E531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7A22E0">
        <w:rPr>
          <w:sz w:val="24"/>
        </w:rPr>
        <w:t xml:space="preserve"> Courriels</w:t>
      </w:r>
      <w:r w:rsidR="007A22E0" w:rsidRPr="00384B20">
        <w:rPr>
          <w:sz w:val="24"/>
        </w:rPr>
        <w:t xml:space="preserve"> : </w:t>
      </w:r>
      <w:r w:rsidR="007A22E0" w:rsidRPr="00556B5A">
        <w:rPr>
          <w:sz w:val="24"/>
        </w:rPr>
        <w:t>Andr</w:t>
      </w:r>
      <w:r w:rsidR="007A22E0">
        <w:rPr>
          <w:sz w:val="24"/>
        </w:rPr>
        <w:t>é</w:t>
      </w:r>
      <w:r w:rsidR="007A22E0" w:rsidRPr="00556B5A">
        <w:rPr>
          <w:sz w:val="24"/>
        </w:rPr>
        <w:t xml:space="preserve"> Vidricaire</w:t>
      </w:r>
      <w:r w:rsidR="007A22E0">
        <w:rPr>
          <w:sz w:val="24"/>
        </w:rPr>
        <w:t xml:space="preserve"> : </w:t>
      </w:r>
      <w:hyperlink r:id="rId15" w:history="1">
        <w:r w:rsidR="007A22E0" w:rsidRPr="000A4912">
          <w:rPr>
            <w:rStyle w:val="Lienhypertexte"/>
            <w:sz w:val="24"/>
          </w:rPr>
          <w:t>vidricaire.andre@uqam.ca</w:t>
        </w:r>
      </w:hyperlink>
      <w:r w:rsidR="007A22E0">
        <w:rPr>
          <w:sz w:val="24"/>
        </w:rPr>
        <w:t xml:space="preserve"> </w:t>
      </w:r>
    </w:p>
    <w:p w:rsidR="007A22E0" w:rsidRDefault="007A22E0" w:rsidP="007A22E0">
      <w:pPr>
        <w:ind w:left="20"/>
        <w:jc w:val="both"/>
        <w:rPr>
          <w:sz w:val="24"/>
        </w:rPr>
      </w:pPr>
      <w:r>
        <w:rPr>
          <w:sz w:val="24"/>
        </w:rPr>
        <w:t xml:space="preserve">Marcel Fournier : </w:t>
      </w:r>
      <w:hyperlink r:id="rId16" w:history="1">
        <w:r w:rsidRPr="000A4912">
          <w:rPr>
            <w:rStyle w:val="Lienhypertexte"/>
            <w:sz w:val="24"/>
          </w:rPr>
          <w:t>marcel.fournier@umontreal.ca</w:t>
        </w:r>
      </w:hyperlink>
      <w:r>
        <w:rPr>
          <w:sz w:val="24"/>
        </w:rPr>
        <w:t xml:space="preserve"> </w:t>
      </w:r>
    </w:p>
    <w:p w:rsidR="007A22E0" w:rsidRPr="004A7171" w:rsidRDefault="007A22E0">
      <w:pPr>
        <w:ind w:right="1800" w:firstLine="0"/>
        <w:jc w:val="both"/>
        <w:rPr>
          <w:sz w:val="24"/>
        </w:rPr>
      </w:pPr>
    </w:p>
    <w:p w:rsidR="007A22E0" w:rsidRPr="004A7171" w:rsidRDefault="007A22E0">
      <w:pPr>
        <w:ind w:right="1800" w:firstLine="0"/>
        <w:jc w:val="both"/>
        <w:rPr>
          <w:sz w:val="24"/>
        </w:rPr>
      </w:pPr>
    </w:p>
    <w:p w:rsidR="007A22E0" w:rsidRPr="004A7171" w:rsidRDefault="007A22E0">
      <w:pPr>
        <w:ind w:right="1800" w:firstLine="0"/>
        <w:jc w:val="both"/>
        <w:rPr>
          <w:sz w:val="24"/>
        </w:rPr>
      </w:pPr>
    </w:p>
    <w:p w:rsidR="007A22E0" w:rsidRPr="00384B20" w:rsidRDefault="007A22E0">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7A22E0" w:rsidRPr="00384B20" w:rsidRDefault="007A22E0">
      <w:pPr>
        <w:ind w:right="1800" w:firstLine="0"/>
        <w:jc w:val="both"/>
        <w:rPr>
          <w:sz w:val="24"/>
        </w:rPr>
      </w:pPr>
    </w:p>
    <w:p w:rsidR="007A22E0" w:rsidRPr="00384B20" w:rsidRDefault="007A22E0" w:rsidP="007A22E0">
      <w:pPr>
        <w:ind w:left="360" w:right="360" w:firstLine="0"/>
        <w:jc w:val="both"/>
        <w:rPr>
          <w:sz w:val="24"/>
        </w:rPr>
      </w:pPr>
      <w:r w:rsidRPr="00384B20">
        <w:rPr>
          <w:sz w:val="24"/>
        </w:rPr>
        <w:t>Pour le texte: Times New Roman, 14 points.</w:t>
      </w:r>
    </w:p>
    <w:p w:rsidR="007A22E0" w:rsidRPr="00384B20" w:rsidRDefault="007A22E0" w:rsidP="007A22E0">
      <w:pPr>
        <w:ind w:left="360" w:right="360" w:firstLine="0"/>
        <w:jc w:val="both"/>
        <w:rPr>
          <w:sz w:val="24"/>
        </w:rPr>
      </w:pPr>
      <w:r w:rsidRPr="00384B20">
        <w:rPr>
          <w:sz w:val="24"/>
        </w:rPr>
        <w:t>Pour les notes de bas de page : Times New Roman, 12 points.</w:t>
      </w:r>
    </w:p>
    <w:p w:rsidR="007A22E0" w:rsidRPr="00384B20" w:rsidRDefault="007A22E0">
      <w:pPr>
        <w:ind w:left="360" w:right="1800" w:firstLine="0"/>
        <w:jc w:val="both"/>
        <w:rPr>
          <w:sz w:val="24"/>
        </w:rPr>
      </w:pPr>
    </w:p>
    <w:p w:rsidR="007A22E0" w:rsidRPr="00384B20" w:rsidRDefault="007A22E0">
      <w:pPr>
        <w:ind w:right="360" w:firstLine="0"/>
        <w:jc w:val="both"/>
        <w:rPr>
          <w:sz w:val="24"/>
        </w:rPr>
      </w:pPr>
      <w:r w:rsidRPr="00384B20">
        <w:rPr>
          <w:sz w:val="24"/>
        </w:rPr>
        <w:t>Édition électronique réalisée avec le traitement de textes Microsoft Word 2008 pour Macintosh.</w:t>
      </w:r>
    </w:p>
    <w:p w:rsidR="007A22E0" w:rsidRPr="00384B20" w:rsidRDefault="007A22E0">
      <w:pPr>
        <w:ind w:right="1800" w:firstLine="0"/>
        <w:jc w:val="both"/>
        <w:rPr>
          <w:sz w:val="24"/>
        </w:rPr>
      </w:pPr>
    </w:p>
    <w:p w:rsidR="007A22E0" w:rsidRPr="00384B20" w:rsidRDefault="007A22E0" w:rsidP="007A22E0">
      <w:pPr>
        <w:ind w:right="540" w:firstLine="0"/>
        <w:jc w:val="both"/>
        <w:rPr>
          <w:sz w:val="24"/>
        </w:rPr>
      </w:pPr>
      <w:r w:rsidRPr="00384B20">
        <w:rPr>
          <w:sz w:val="24"/>
        </w:rPr>
        <w:t>Mise en page sur papier format : LETTRE US, 8.5’’ x 11’’.</w:t>
      </w:r>
    </w:p>
    <w:p w:rsidR="007A22E0" w:rsidRDefault="007A22E0">
      <w:pPr>
        <w:ind w:right="1800" w:firstLine="0"/>
        <w:jc w:val="both"/>
        <w:rPr>
          <w:sz w:val="24"/>
        </w:rPr>
      </w:pPr>
    </w:p>
    <w:p w:rsidR="007A22E0" w:rsidRPr="00384B20" w:rsidRDefault="007A22E0">
      <w:pPr>
        <w:ind w:right="1800" w:firstLine="0"/>
        <w:jc w:val="both"/>
        <w:rPr>
          <w:sz w:val="24"/>
        </w:rPr>
      </w:pPr>
    </w:p>
    <w:p w:rsidR="007A22E0" w:rsidRPr="00384B20" w:rsidRDefault="007A22E0" w:rsidP="007A22E0">
      <w:pPr>
        <w:ind w:firstLine="0"/>
        <w:jc w:val="both"/>
        <w:rPr>
          <w:sz w:val="24"/>
        </w:rPr>
      </w:pPr>
      <w:r w:rsidRPr="00384B20">
        <w:rPr>
          <w:sz w:val="24"/>
        </w:rPr>
        <w:t xml:space="preserve">Édition numérique réalisée le </w:t>
      </w:r>
      <w:r>
        <w:rPr>
          <w:sz w:val="24"/>
        </w:rPr>
        <w:t>7 mai 2021 à Chicoutimi</w:t>
      </w:r>
      <w:r w:rsidRPr="00384B20">
        <w:rPr>
          <w:sz w:val="24"/>
        </w:rPr>
        <w:t>, Qu</w:t>
      </w:r>
      <w:r w:rsidRPr="00384B20">
        <w:rPr>
          <w:sz w:val="24"/>
        </w:rPr>
        <w:t>é</w:t>
      </w:r>
      <w:r w:rsidRPr="00384B20">
        <w:rPr>
          <w:sz w:val="24"/>
        </w:rPr>
        <w:t>bec.</w:t>
      </w:r>
    </w:p>
    <w:p w:rsidR="007A22E0" w:rsidRPr="00384B20" w:rsidRDefault="007A22E0">
      <w:pPr>
        <w:ind w:right="1800" w:firstLine="0"/>
        <w:jc w:val="both"/>
        <w:rPr>
          <w:sz w:val="24"/>
        </w:rPr>
      </w:pPr>
    </w:p>
    <w:p w:rsidR="007A22E0" w:rsidRPr="00E07116" w:rsidRDefault="004A7171">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7A22E0" w:rsidRPr="00E07116" w:rsidRDefault="007A22E0" w:rsidP="007A22E0">
      <w:pPr>
        <w:ind w:left="20"/>
        <w:jc w:val="both"/>
      </w:pPr>
      <w:r w:rsidRPr="00E07116">
        <w:br w:type="page"/>
      </w:r>
    </w:p>
    <w:p w:rsidR="007A22E0" w:rsidRDefault="007A22E0" w:rsidP="007A22E0">
      <w:pPr>
        <w:ind w:firstLine="0"/>
        <w:jc w:val="center"/>
        <w:rPr>
          <w:b/>
          <w:sz w:val="36"/>
        </w:rPr>
      </w:pPr>
      <w:r>
        <w:rPr>
          <w:sz w:val="36"/>
        </w:rPr>
        <w:t>Marcel FOURNIER</w:t>
      </w:r>
    </w:p>
    <w:p w:rsidR="007A22E0" w:rsidRDefault="007A22E0" w:rsidP="007A22E0">
      <w:pPr>
        <w:ind w:firstLine="0"/>
        <w:jc w:val="center"/>
        <w:rPr>
          <w:sz w:val="20"/>
          <w:lang w:bidi="ar-SA"/>
        </w:rPr>
      </w:pPr>
      <w:r>
        <w:rPr>
          <w:sz w:val="20"/>
          <w:lang w:bidi="ar-SA"/>
        </w:rPr>
        <w:t>Sociologue, département de sociologie, Université de Montréal</w:t>
      </w:r>
    </w:p>
    <w:p w:rsidR="007A22E0" w:rsidRPr="00E07116" w:rsidRDefault="007A22E0" w:rsidP="007A22E0">
      <w:pPr>
        <w:ind w:firstLine="0"/>
        <w:jc w:val="center"/>
      </w:pPr>
    </w:p>
    <w:p w:rsidR="007A22E0" w:rsidRPr="00F3780C" w:rsidRDefault="007A22E0" w:rsidP="007A22E0">
      <w:pPr>
        <w:ind w:firstLine="0"/>
        <w:jc w:val="center"/>
        <w:rPr>
          <w:color w:val="000080"/>
          <w:sz w:val="36"/>
        </w:rPr>
      </w:pPr>
      <w:r w:rsidRPr="009A1926">
        <w:rPr>
          <w:color w:val="000080"/>
          <w:sz w:val="36"/>
        </w:rPr>
        <w:t>“Structures univers</w:t>
      </w:r>
      <w:r>
        <w:rPr>
          <w:color w:val="000080"/>
          <w:sz w:val="36"/>
        </w:rPr>
        <w:t>itaires et pratiques syndicales</w:t>
      </w:r>
      <w:r>
        <w:rPr>
          <w:color w:val="000080"/>
          <w:sz w:val="36"/>
        </w:rPr>
        <w:br/>
      </w:r>
      <w:r w:rsidRPr="009A1926">
        <w:rPr>
          <w:color w:val="000080"/>
          <w:sz w:val="36"/>
        </w:rPr>
        <w:t>à l’Université de Montréal.”</w:t>
      </w:r>
    </w:p>
    <w:p w:rsidR="007A22E0" w:rsidRPr="00E07116" w:rsidRDefault="007A22E0" w:rsidP="007A22E0">
      <w:pPr>
        <w:ind w:firstLine="0"/>
        <w:jc w:val="center"/>
      </w:pPr>
    </w:p>
    <w:p w:rsidR="007A22E0" w:rsidRPr="00E07116" w:rsidRDefault="004A7171" w:rsidP="007A22E0">
      <w:pPr>
        <w:ind w:firstLine="0"/>
        <w:jc w:val="center"/>
      </w:pPr>
      <w:r>
        <w:rPr>
          <w:noProof/>
        </w:rPr>
        <w:drawing>
          <wp:inline distT="0" distB="0" distL="0" distR="0">
            <wp:extent cx="3232150" cy="5071745"/>
            <wp:effectExtent l="25400" t="25400" r="19050" b="8255"/>
            <wp:docPr id="5" name="Image 5" descr="Syndicalisme_universitaire_et_Etat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yndicalisme_universitaire_et_Etat_L"/>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2150" cy="5071745"/>
                    </a:xfrm>
                    <a:prstGeom prst="rect">
                      <a:avLst/>
                    </a:prstGeom>
                    <a:noFill/>
                    <a:ln w="19050" cmpd="sng">
                      <a:solidFill>
                        <a:srgbClr val="000000"/>
                      </a:solidFill>
                      <a:miter lim="800000"/>
                      <a:headEnd/>
                      <a:tailEnd/>
                    </a:ln>
                    <a:effectLst/>
                  </pic:spPr>
                </pic:pic>
              </a:graphicData>
            </a:graphic>
          </wp:inline>
        </w:drawing>
      </w:r>
    </w:p>
    <w:p w:rsidR="007A22E0" w:rsidRPr="00E07116" w:rsidRDefault="007A22E0" w:rsidP="007A22E0">
      <w:pPr>
        <w:jc w:val="both"/>
      </w:pPr>
    </w:p>
    <w:p w:rsidR="007A22E0" w:rsidRPr="00707A24" w:rsidRDefault="007A22E0" w:rsidP="007A22E0">
      <w:pPr>
        <w:ind w:firstLine="0"/>
        <w:jc w:val="both"/>
      </w:pPr>
      <w:r w:rsidRPr="00707A24">
        <w:t xml:space="preserve">Sous la direction d’André Vidricaire, </w:t>
      </w:r>
      <w:r w:rsidRPr="00707A24">
        <w:rPr>
          <w:b/>
          <w:color w:val="000080"/>
        </w:rPr>
        <w:t xml:space="preserve">Le syndicalisme universitaire et l’État. </w:t>
      </w:r>
      <w:r w:rsidRPr="00707A24">
        <w:t>Un collectif d’universitaires, pp. 115-126. Montréal : Les Éd</w:t>
      </w:r>
      <w:r w:rsidRPr="00707A24">
        <w:t>i</w:t>
      </w:r>
      <w:r w:rsidRPr="00707A24">
        <w:t>tions Hurtubise HMH, ltée, 1977, 208 pp.</w:t>
      </w:r>
    </w:p>
    <w:p w:rsidR="007A22E0" w:rsidRPr="00E07116" w:rsidRDefault="007A22E0" w:rsidP="007A22E0">
      <w:pPr>
        <w:jc w:val="both"/>
      </w:pPr>
      <w:r w:rsidRPr="00E07116">
        <w:br w:type="page"/>
      </w:r>
    </w:p>
    <w:p w:rsidR="007A22E0" w:rsidRPr="00E07116" w:rsidRDefault="007A22E0" w:rsidP="007A22E0">
      <w:pPr>
        <w:jc w:val="both"/>
      </w:pPr>
    </w:p>
    <w:p w:rsidR="007A22E0" w:rsidRPr="00E07116" w:rsidRDefault="007A22E0">
      <w:pPr>
        <w:jc w:val="both"/>
      </w:pPr>
    </w:p>
    <w:p w:rsidR="007A22E0" w:rsidRPr="00E07116" w:rsidRDefault="007A22E0">
      <w:pPr>
        <w:jc w:val="both"/>
      </w:pPr>
    </w:p>
    <w:p w:rsidR="007A22E0" w:rsidRPr="00E07116" w:rsidRDefault="007A22E0" w:rsidP="007A22E0">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7A22E0" w:rsidRPr="00E07116" w:rsidRDefault="007A22E0" w:rsidP="007A22E0">
      <w:pPr>
        <w:pStyle w:val="NormalWeb"/>
        <w:spacing w:before="2" w:after="2"/>
        <w:jc w:val="both"/>
        <w:rPr>
          <w:rFonts w:ascii="Times New Roman" w:hAnsi="Times New Roman"/>
          <w:sz w:val="28"/>
        </w:rPr>
      </w:pPr>
    </w:p>
    <w:p w:rsidR="007A22E0" w:rsidRPr="00E07116" w:rsidRDefault="007A22E0" w:rsidP="007A22E0">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7A22E0" w:rsidRPr="00E07116" w:rsidRDefault="007A22E0" w:rsidP="007A22E0">
      <w:pPr>
        <w:jc w:val="both"/>
        <w:rPr>
          <w:szCs w:val="19"/>
        </w:rPr>
      </w:pPr>
    </w:p>
    <w:p w:rsidR="007A22E0" w:rsidRPr="00E07116" w:rsidRDefault="007A22E0">
      <w:pPr>
        <w:jc w:val="both"/>
        <w:rPr>
          <w:szCs w:val="19"/>
        </w:rPr>
      </w:pPr>
    </w:p>
    <w:p w:rsidR="007A22E0" w:rsidRPr="002974A3" w:rsidRDefault="007A22E0" w:rsidP="007A22E0">
      <w:pPr>
        <w:pStyle w:val="p"/>
      </w:pPr>
      <w:r w:rsidRPr="00E07116">
        <w:br w:type="page"/>
      </w:r>
      <w:r>
        <w:lastRenderedPageBreak/>
        <w:t>[29]</w:t>
      </w:r>
    </w:p>
    <w:p w:rsidR="007A22E0" w:rsidRPr="00E07116" w:rsidRDefault="007A22E0" w:rsidP="007A22E0">
      <w:pPr>
        <w:jc w:val="both"/>
      </w:pPr>
    </w:p>
    <w:p w:rsidR="007A22E0" w:rsidRDefault="007A22E0" w:rsidP="007A22E0">
      <w:pPr>
        <w:jc w:val="both"/>
      </w:pPr>
    </w:p>
    <w:p w:rsidR="007A22E0" w:rsidRPr="00E07116" w:rsidRDefault="007A22E0" w:rsidP="007A22E0">
      <w:pPr>
        <w:jc w:val="both"/>
      </w:pPr>
    </w:p>
    <w:p w:rsidR="007A22E0" w:rsidRPr="004E5DC6" w:rsidRDefault="007A22E0" w:rsidP="007A22E0">
      <w:pPr>
        <w:spacing w:after="120"/>
        <w:ind w:firstLine="0"/>
        <w:jc w:val="center"/>
        <w:rPr>
          <w:sz w:val="24"/>
        </w:rPr>
      </w:pPr>
      <w:bookmarkStart w:id="1" w:name="Syndicalisme_universitaire_pt_1_chap_2"/>
      <w:r w:rsidRPr="004E5DC6">
        <w:rPr>
          <w:sz w:val="24"/>
        </w:rPr>
        <w:t>Première partie </w:t>
      </w:r>
      <w:r w:rsidRPr="004E5DC6">
        <w:rPr>
          <w:sz w:val="24"/>
        </w:rPr>
        <w:br/>
      </w:r>
      <w:r w:rsidRPr="004E5DC6">
        <w:rPr>
          <w:b/>
          <w:i/>
          <w:sz w:val="24"/>
        </w:rPr>
        <w:t>Les enjeux du syndicalisme dans les universités</w:t>
      </w:r>
    </w:p>
    <w:p w:rsidR="007A22E0" w:rsidRPr="00384B20" w:rsidRDefault="007A22E0" w:rsidP="007A22E0">
      <w:pPr>
        <w:pStyle w:val="Titreniveau1"/>
      </w:pPr>
      <w:r>
        <w:t>Chapitre 2</w:t>
      </w:r>
    </w:p>
    <w:p w:rsidR="007A22E0" w:rsidRPr="00E07116" w:rsidRDefault="007A22E0" w:rsidP="007A22E0">
      <w:pPr>
        <w:pStyle w:val="Titreniveau2"/>
      </w:pPr>
      <w:r>
        <w:t>“Structures universitaires</w:t>
      </w:r>
      <w:r>
        <w:br/>
        <w:t>et pratiques syndicales</w:t>
      </w:r>
      <w:r>
        <w:br/>
        <w:t>à l’Université Montréal.” </w:t>
      </w:r>
      <w:r>
        <w:rPr>
          <w:rStyle w:val="Appelnotedebasdep"/>
        </w:rPr>
        <w:footnoteReference w:customMarkFollows="1" w:id="1"/>
        <w:t>*</w:t>
      </w:r>
    </w:p>
    <w:bookmarkEnd w:id="1"/>
    <w:p w:rsidR="007A22E0" w:rsidRPr="00E07116" w:rsidRDefault="007A22E0" w:rsidP="007A22E0">
      <w:pPr>
        <w:jc w:val="both"/>
        <w:rPr>
          <w:szCs w:val="36"/>
        </w:rPr>
      </w:pPr>
    </w:p>
    <w:p w:rsidR="007A22E0" w:rsidRPr="00E07116" w:rsidRDefault="007A22E0" w:rsidP="007A22E0">
      <w:pPr>
        <w:jc w:val="both"/>
      </w:pPr>
    </w:p>
    <w:p w:rsidR="007A22E0" w:rsidRDefault="007A22E0" w:rsidP="007A22E0">
      <w:pPr>
        <w:jc w:val="right"/>
        <w:rPr>
          <w:lang w:eastAsia="fr-FR" w:bidi="fr-FR"/>
        </w:rPr>
      </w:pPr>
      <w:r w:rsidRPr="002974A3">
        <w:rPr>
          <w:lang w:eastAsia="fr-FR" w:bidi="fr-FR"/>
        </w:rPr>
        <w:t>Marcel FOURNIER</w:t>
      </w:r>
    </w:p>
    <w:p w:rsidR="007A22E0" w:rsidRPr="00EC432A" w:rsidRDefault="007A22E0" w:rsidP="007A22E0">
      <w:pPr>
        <w:jc w:val="right"/>
        <w:rPr>
          <w:sz w:val="24"/>
          <w:lang w:eastAsia="fr-FR" w:bidi="fr-FR"/>
        </w:rPr>
      </w:pPr>
      <w:r w:rsidRPr="00EC432A">
        <w:rPr>
          <w:sz w:val="24"/>
          <w:lang w:eastAsia="fr-FR" w:bidi="fr-FR"/>
        </w:rPr>
        <w:t>Département de Sociologie</w:t>
      </w:r>
    </w:p>
    <w:p w:rsidR="007A22E0" w:rsidRPr="00EC432A" w:rsidRDefault="007A22E0" w:rsidP="007A22E0">
      <w:pPr>
        <w:jc w:val="right"/>
        <w:rPr>
          <w:sz w:val="24"/>
        </w:rPr>
      </w:pPr>
      <w:r w:rsidRPr="00EC432A">
        <w:rPr>
          <w:sz w:val="24"/>
          <w:lang w:eastAsia="fr-FR" w:bidi="fr-FR"/>
        </w:rPr>
        <w:t>Université de Montréal</w:t>
      </w:r>
    </w:p>
    <w:p w:rsidR="007A22E0" w:rsidRDefault="007A22E0" w:rsidP="007A22E0">
      <w:pPr>
        <w:spacing w:before="120" w:after="120"/>
        <w:jc w:val="both"/>
        <w:rPr>
          <w:lang w:eastAsia="fr-FR" w:bidi="fr-FR"/>
        </w:rPr>
      </w:pPr>
    </w:p>
    <w:p w:rsidR="007A22E0" w:rsidRDefault="007A22E0" w:rsidP="007A22E0">
      <w:pPr>
        <w:spacing w:before="120" w:after="120"/>
        <w:jc w:val="both"/>
        <w:rPr>
          <w:lang w:eastAsia="fr-FR" w:bidi="fr-FR"/>
        </w:rPr>
      </w:pPr>
    </w:p>
    <w:p w:rsidR="007A22E0" w:rsidRPr="002974A3" w:rsidRDefault="007A22E0" w:rsidP="007A22E0">
      <w:pPr>
        <w:spacing w:before="120" w:after="120"/>
        <w:jc w:val="both"/>
      </w:pPr>
      <w:r w:rsidRPr="002974A3">
        <w:rPr>
          <w:lang w:eastAsia="fr-FR" w:bidi="fr-FR"/>
        </w:rPr>
        <w:t>Les transformations importantes qu’ont connues les un</w:t>
      </w:r>
      <w:r w:rsidRPr="002974A3">
        <w:rPr>
          <w:lang w:eastAsia="fr-FR" w:bidi="fr-FR"/>
        </w:rPr>
        <w:t>i</w:t>
      </w:r>
      <w:r w:rsidRPr="002974A3">
        <w:rPr>
          <w:lang w:eastAsia="fr-FR" w:bidi="fr-FR"/>
        </w:rPr>
        <w:t>versités québécoises francophones depuis la fin des années 1950 et tout part</w:t>
      </w:r>
      <w:r w:rsidRPr="002974A3">
        <w:rPr>
          <w:lang w:eastAsia="fr-FR" w:bidi="fr-FR"/>
        </w:rPr>
        <w:t>i</w:t>
      </w:r>
      <w:r w:rsidRPr="002974A3">
        <w:rPr>
          <w:lang w:eastAsia="fr-FR" w:bidi="fr-FR"/>
        </w:rPr>
        <w:t>culièrement au cours des années 1960, do</w:t>
      </w:r>
      <w:r w:rsidRPr="002974A3">
        <w:rPr>
          <w:lang w:eastAsia="fr-FR" w:bidi="fr-FR"/>
        </w:rPr>
        <w:t>i</w:t>
      </w:r>
      <w:r w:rsidRPr="002974A3">
        <w:rPr>
          <w:lang w:eastAsia="fr-FR" w:bidi="fr-FR"/>
        </w:rPr>
        <w:t>vent leur spécificité non seulement à un accroissement très rapide de la population étudiante, mais aussi aux réactions ou réponses que ces institutions ont alors a</w:t>
      </w:r>
      <w:r w:rsidRPr="002974A3">
        <w:rPr>
          <w:lang w:eastAsia="fr-FR" w:bidi="fr-FR"/>
        </w:rPr>
        <w:t>p</w:t>
      </w:r>
      <w:r w:rsidRPr="002974A3">
        <w:rPr>
          <w:lang w:eastAsia="fr-FR" w:bidi="fr-FR"/>
        </w:rPr>
        <w:t>portées. Afin de r</w:t>
      </w:r>
      <w:r w:rsidRPr="002974A3">
        <w:rPr>
          <w:lang w:eastAsia="fr-FR" w:bidi="fr-FR"/>
        </w:rPr>
        <w:t>é</w:t>
      </w:r>
      <w:r w:rsidRPr="002974A3">
        <w:rPr>
          <w:lang w:eastAsia="fr-FR" w:bidi="fr-FR"/>
        </w:rPr>
        <w:t>pondre à « l’envahissement » de l’université par une popul</w:t>
      </w:r>
      <w:r w:rsidRPr="002974A3">
        <w:rPr>
          <w:lang w:eastAsia="fr-FR" w:bidi="fr-FR"/>
        </w:rPr>
        <w:t>a</w:t>
      </w:r>
      <w:r w:rsidRPr="002974A3">
        <w:rPr>
          <w:lang w:eastAsia="fr-FR" w:bidi="fr-FR"/>
        </w:rPr>
        <w:t>tion étudiante de plus en plus diversifiée en fonction de son itinéraire scolaire et social, l’on a en effet eu recours à différentes m</w:t>
      </w:r>
      <w:r w:rsidRPr="002974A3">
        <w:rPr>
          <w:lang w:eastAsia="fr-FR" w:bidi="fr-FR"/>
        </w:rPr>
        <w:t>e</w:t>
      </w:r>
      <w:r w:rsidRPr="002974A3">
        <w:rPr>
          <w:lang w:eastAsia="fr-FR" w:bidi="fr-FR"/>
        </w:rPr>
        <w:t>sures : création de nouveaux départements et f</w:t>
      </w:r>
      <w:r w:rsidRPr="002974A3">
        <w:rPr>
          <w:lang w:eastAsia="fr-FR" w:bidi="fr-FR"/>
        </w:rPr>
        <w:t>a</w:t>
      </w:r>
      <w:r w:rsidRPr="002974A3">
        <w:rPr>
          <w:lang w:eastAsia="fr-FR" w:bidi="fr-FR"/>
        </w:rPr>
        <w:t>cultés, développement d’une bureaucratie universitaire, mod</w:t>
      </w:r>
      <w:r w:rsidRPr="002974A3">
        <w:rPr>
          <w:lang w:eastAsia="fr-FR" w:bidi="fr-FR"/>
        </w:rPr>
        <w:t>i</w:t>
      </w:r>
      <w:r w:rsidRPr="002974A3">
        <w:rPr>
          <w:lang w:eastAsia="fr-FR" w:bidi="fr-FR"/>
        </w:rPr>
        <w:t>fication (uniformisation) des règles de recrutement et de ca</w:t>
      </w:r>
      <w:r w:rsidRPr="002974A3">
        <w:rPr>
          <w:lang w:eastAsia="fr-FR" w:bidi="fr-FR"/>
        </w:rPr>
        <w:t>r</w:t>
      </w:r>
      <w:r w:rsidRPr="002974A3">
        <w:rPr>
          <w:lang w:eastAsia="fr-FR" w:bidi="fr-FR"/>
        </w:rPr>
        <w:t xml:space="preserve">rière, accroissement de la dépendance (financière) à l’égard de l’État, etc. Dès lors, les conditions de travail et aussi la perception que les universitaires se font d’eux-mêmes se </w:t>
      </w:r>
      <w:r w:rsidRPr="002974A3">
        <w:rPr>
          <w:lang w:eastAsia="fr-FR" w:bidi="fr-FR"/>
        </w:rPr>
        <w:lastRenderedPageBreak/>
        <w:t>sont progressivement modifiées : du petit atelier qu’elle était, l’université semble être devenue une grande entreprise, dont les e</w:t>
      </w:r>
      <w:r w:rsidRPr="002974A3">
        <w:rPr>
          <w:lang w:eastAsia="fr-FR" w:bidi="fr-FR"/>
        </w:rPr>
        <w:t>m</w:t>
      </w:r>
      <w:r w:rsidRPr="002974A3">
        <w:rPr>
          <w:lang w:eastAsia="fr-FR" w:bidi="fr-FR"/>
        </w:rPr>
        <w:t xml:space="preserve">ployés. Le. </w:t>
      </w:r>
      <w:proofErr w:type="gramStart"/>
      <w:r w:rsidRPr="002974A3">
        <w:rPr>
          <w:lang w:eastAsia="fr-FR" w:bidi="fr-FR"/>
        </w:rPr>
        <w:t>les</w:t>
      </w:r>
      <w:proofErr w:type="gramEnd"/>
      <w:r w:rsidRPr="002974A3">
        <w:rPr>
          <w:lang w:eastAsia="fr-FR" w:bidi="fr-FR"/>
        </w:rPr>
        <w:t xml:space="preserve"> professeurs, ces « derniers artisans » maintenant prol</w:t>
      </w:r>
      <w:r w:rsidRPr="002974A3">
        <w:rPr>
          <w:lang w:eastAsia="fr-FR" w:bidi="fr-FR"/>
        </w:rPr>
        <w:t>é</w:t>
      </w:r>
      <w:r w:rsidRPr="002974A3">
        <w:rPr>
          <w:lang w:eastAsia="fr-FR" w:bidi="fr-FR"/>
        </w:rPr>
        <w:t>tarisés, n’ont plus d’autre choix que de se syndiquer...</w:t>
      </w:r>
    </w:p>
    <w:p w:rsidR="007A22E0" w:rsidRPr="002974A3" w:rsidRDefault="007A22E0" w:rsidP="007A22E0">
      <w:pPr>
        <w:spacing w:before="120" w:after="120"/>
        <w:jc w:val="both"/>
      </w:pPr>
      <w:r w:rsidRPr="002974A3">
        <w:rPr>
          <w:lang w:eastAsia="fr-FR" w:bidi="fr-FR"/>
        </w:rPr>
        <w:t>Sans être totalement fausse, la thèse de la « prolétarisation » du corps professoral universitaire doit être cependant largement nuancée et ne permet pas toujours d’expliquer le processus de sa syndicalis</w:t>
      </w:r>
      <w:r w:rsidRPr="002974A3">
        <w:rPr>
          <w:lang w:eastAsia="fr-FR" w:bidi="fr-FR"/>
        </w:rPr>
        <w:t>a</w:t>
      </w:r>
      <w:r w:rsidRPr="002974A3">
        <w:rPr>
          <w:lang w:eastAsia="fr-FR" w:bidi="fr-FR"/>
        </w:rPr>
        <w:t>tion. Détenteurs de titres ou de diplômes prestigieux et dotés d’une « compétence », les universitaires</w:t>
      </w:r>
      <w:r>
        <w:rPr>
          <w:lang w:eastAsia="fr-FR" w:bidi="fr-FR"/>
        </w:rPr>
        <w:t xml:space="preserve"> [30] </w:t>
      </w:r>
      <w:r w:rsidRPr="002974A3">
        <w:rPr>
          <w:lang w:eastAsia="fr-FR" w:bidi="fr-FR"/>
        </w:rPr>
        <w:t>jouissent toujours, pour la pl</w:t>
      </w:r>
      <w:r w:rsidRPr="002974A3">
        <w:rPr>
          <w:lang w:eastAsia="fr-FR" w:bidi="fr-FR"/>
        </w:rPr>
        <w:t>u</w:t>
      </w:r>
      <w:r w:rsidRPr="002974A3">
        <w:rPr>
          <w:lang w:eastAsia="fr-FR" w:bidi="fr-FR"/>
        </w:rPr>
        <w:t>part, d’un grand prestige et sont fréquemment consultés par les diff</w:t>
      </w:r>
      <w:r w:rsidRPr="002974A3">
        <w:rPr>
          <w:lang w:eastAsia="fr-FR" w:bidi="fr-FR"/>
        </w:rPr>
        <w:t>é</w:t>
      </w:r>
      <w:r w:rsidRPr="002974A3">
        <w:rPr>
          <w:lang w:eastAsia="fr-FR" w:bidi="fr-FR"/>
        </w:rPr>
        <w:t>rents pouvoirs (politiques, religieux et économiques). De plus, larg</w:t>
      </w:r>
      <w:r w:rsidRPr="002974A3">
        <w:rPr>
          <w:lang w:eastAsia="fr-FR" w:bidi="fr-FR"/>
        </w:rPr>
        <w:t>e</w:t>
      </w:r>
      <w:r w:rsidRPr="002974A3">
        <w:rPr>
          <w:lang w:eastAsia="fr-FR" w:bidi="fr-FR"/>
        </w:rPr>
        <w:t>ment respo</w:t>
      </w:r>
      <w:r w:rsidRPr="002974A3">
        <w:rPr>
          <w:lang w:eastAsia="fr-FR" w:bidi="fr-FR"/>
        </w:rPr>
        <w:t>n</w:t>
      </w:r>
      <w:r w:rsidRPr="002974A3">
        <w:rPr>
          <w:lang w:eastAsia="fr-FR" w:bidi="fr-FR"/>
        </w:rPr>
        <w:t>sables de la définition de leurs cours et de leurs projets de recherche, ceux-ci ne se sentent pas quotidiennement soumis ou o</w:t>
      </w:r>
      <w:r w:rsidRPr="002974A3">
        <w:rPr>
          <w:lang w:eastAsia="fr-FR" w:bidi="fr-FR"/>
        </w:rPr>
        <w:t>p</w:t>
      </w:r>
      <w:r w:rsidRPr="002974A3">
        <w:rPr>
          <w:lang w:eastAsia="fr-FR" w:bidi="fr-FR"/>
        </w:rPr>
        <w:t>primés par quelque autorité : les directeurs et plusieurs cadres adm</w:t>
      </w:r>
      <w:r w:rsidRPr="002974A3">
        <w:rPr>
          <w:lang w:eastAsia="fr-FR" w:bidi="fr-FR"/>
        </w:rPr>
        <w:t>i</w:t>
      </w:r>
      <w:r w:rsidRPr="002974A3">
        <w:rPr>
          <w:lang w:eastAsia="fr-FR" w:bidi="fr-FR"/>
        </w:rPr>
        <w:t>nistratifs sont habituellement des (anciens) coll</w:t>
      </w:r>
      <w:r w:rsidRPr="002974A3">
        <w:rPr>
          <w:lang w:eastAsia="fr-FR" w:bidi="fr-FR"/>
        </w:rPr>
        <w:t>è</w:t>
      </w:r>
      <w:r w:rsidRPr="002974A3">
        <w:rPr>
          <w:lang w:eastAsia="fr-FR" w:bidi="fr-FR"/>
        </w:rPr>
        <w:t>gues avec lesquels ils entretiennent souvent des relations amicales. Enfin, devant des diff</w:t>
      </w:r>
      <w:r w:rsidRPr="002974A3">
        <w:rPr>
          <w:lang w:eastAsia="fr-FR" w:bidi="fr-FR"/>
        </w:rPr>
        <w:t>i</w:t>
      </w:r>
      <w:r w:rsidRPr="002974A3">
        <w:rPr>
          <w:lang w:eastAsia="fr-FR" w:bidi="fr-FR"/>
        </w:rPr>
        <w:t>cultés ou des problèmes (prom</w:t>
      </w:r>
      <w:r w:rsidRPr="002974A3">
        <w:rPr>
          <w:lang w:eastAsia="fr-FR" w:bidi="fr-FR"/>
        </w:rPr>
        <w:t>o</w:t>
      </w:r>
      <w:r w:rsidRPr="002974A3">
        <w:rPr>
          <w:lang w:eastAsia="fr-FR" w:bidi="fr-FR"/>
        </w:rPr>
        <w:t>tions, augmentations de salaires, frais de secrétariat, budgets de recherche, etc.), ces universitaires se sentent encore relat</w:t>
      </w:r>
      <w:r w:rsidRPr="002974A3">
        <w:rPr>
          <w:lang w:eastAsia="fr-FR" w:bidi="fr-FR"/>
        </w:rPr>
        <w:t>i</w:t>
      </w:r>
      <w:r w:rsidRPr="002974A3">
        <w:rPr>
          <w:lang w:eastAsia="fr-FR" w:bidi="fr-FR"/>
        </w:rPr>
        <w:t>vement confiants de trouver eux-mêmes des solutions en recourant à des relations personnelles, en mettant en évidence la v</w:t>
      </w:r>
      <w:r w:rsidRPr="002974A3">
        <w:rPr>
          <w:lang w:eastAsia="fr-FR" w:bidi="fr-FR"/>
        </w:rPr>
        <w:t>a</w:t>
      </w:r>
      <w:r w:rsidRPr="002974A3">
        <w:rPr>
          <w:lang w:eastAsia="fr-FR" w:bidi="fr-FR"/>
        </w:rPr>
        <w:t>leur de leurs compétences ou tout simplement en utilisant leur chari</w:t>
      </w:r>
      <w:r w:rsidRPr="002974A3">
        <w:rPr>
          <w:lang w:eastAsia="fr-FR" w:bidi="fr-FR"/>
        </w:rPr>
        <w:t>s</w:t>
      </w:r>
      <w:r w:rsidRPr="002974A3">
        <w:rPr>
          <w:lang w:eastAsia="fr-FR" w:bidi="fr-FR"/>
        </w:rPr>
        <w:t>me (universitaire). Bref, à un moment où se const</w:t>
      </w:r>
      <w:r w:rsidRPr="002974A3">
        <w:rPr>
          <w:lang w:eastAsia="fr-FR" w:bidi="fr-FR"/>
        </w:rPr>
        <w:t>i</w:t>
      </w:r>
      <w:r w:rsidRPr="002974A3">
        <w:rPr>
          <w:lang w:eastAsia="fr-FR" w:bidi="fr-FR"/>
        </w:rPr>
        <w:t>tuent des groupes ou castes d’administrateurs de plus en plus éloignés des professeurs et des étudiants et que le poids de l’intervention de l’État dans l’enseignement et la recherche univers</w:t>
      </w:r>
      <w:r w:rsidRPr="002974A3">
        <w:rPr>
          <w:lang w:eastAsia="fr-FR" w:bidi="fr-FR"/>
        </w:rPr>
        <w:t>i</w:t>
      </w:r>
      <w:r w:rsidRPr="002974A3">
        <w:rPr>
          <w:lang w:eastAsia="fr-FR" w:bidi="fr-FR"/>
        </w:rPr>
        <w:t>taire est de plus en plus grand, la représentation trad</w:t>
      </w:r>
      <w:r w:rsidRPr="002974A3">
        <w:rPr>
          <w:lang w:eastAsia="fr-FR" w:bidi="fr-FR"/>
        </w:rPr>
        <w:t>i</w:t>
      </w:r>
      <w:r w:rsidRPr="002974A3">
        <w:rPr>
          <w:lang w:eastAsia="fr-FR" w:bidi="fr-FR"/>
        </w:rPr>
        <w:t>tionnelle de l’universitaire est toujours vivace : tout en pe</w:t>
      </w:r>
      <w:r w:rsidRPr="002974A3">
        <w:rPr>
          <w:lang w:eastAsia="fr-FR" w:bidi="fr-FR"/>
        </w:rPr>
        <w:t>r</w:t>
      </w:r>
      <w:r w:rsidRPr="002974A3">
        <w:rPr>
          <w:lang w:eastAsia="fr-FR" w:bidi="fr-FR"/>
        </w:rPr>
        <w:t>mettant de contribuer en toute quiétude à l’avancement et à la diffusion des connaissances, l’université garantirait une large « liberté académique » et offrirait un véritable « esprit de communa</w:t>
      </w:r>
      <w:r w:rsidRPr="002974A3">
        <w:rPr>
          <w:lang w:eastAsia="fr-FR" w:bidi="fr-FR"/>
        </w:rPr>
        <w:t>u</w:t>
      </w:r>
      <w:r w:rsidRPr="002974A3">
        <w:rPr>
          <w:lang w:eastAsia="fr-FR" w:bidi="fr-FR"/>
        </w:rPr>
        <w:t>té ».</w:t>
      </w:r>
    </w:p>
    <w:p w:rsidR="007A22E0" w:rsidRDefault="007A22E0" w:rsidP="007A22E0">
      <w:pPr>
        <w:spacing w:before="120" w:after="120"/>
        <w:jc w:val="both"/>
        <w:rPr>
          <w:lang w:eastAsia="fr-FR" w:bidi="fr-FR"/>
        </w:rPr>
      </w:pPr>
      <w:r w:rsidRPr="002974A3">
        <w:rPr>
          <w:lang w:eastAsia="fr-FR" w:bidi="fr-FR"/>
        </w:rPr>
        <w:t xml:space="preserve">Dans une certaine mesure, ces deux </w:t>
      </w:r>
      <w:r>
        <w:rPr>
          <w:lang w:eastAsia="fr-FR" w:bidi="fr-FR"/>
        </w:rPr>
        <w:t>interprétations ne sont pas i</w:t>
      </w:r>
      <w:r>
        <w:rPr>
          <w:lang w:eastAsia="fr-FR" w:bidi="fr-FR"/>
        </w:rPr>
        <w:t>n</w:t>
      </w:r>
      <w:r w:rsidRPr="002974A3">
        <w:rPr>
          <w:lang w:eastAsia="fr-FR" w:bidi="fr-FR"/>
        </w:rPr>
        <w:t>compatibles et correspondent à la diversification m</w:t>
      </w:r>
      <w:r w:rsidRPr="002974A3">
        <w:rPr>
          <w:lang w:eastAsia="fr-FR" w:bidi="fr-FR"/>
        </w:rPr>
        <w:t>ê</w:t>
      </w:r>
      <w:r w:rsidRPr="002974A3">
        <w:rPr>
          <w:lang w:eastAsia="fr-FR" w:bidi="fr-FR"/>
        </w:rPr>
        <w:t>me (d’attitudes, d’opinions, d’intérêts, etc.) du milieu universitaire : les prises de pos</w:t>
      </w:r>
      <w:r w:rsidRPr="002974A3">
        <w:rPr>
          <w:lang w:eastAsia="fr-FR" w:bidi="fr-FR"/>
        </w:rPr>
        <w:t>i</w:t>
      </w:r>
      <w:r w:rsidRPr="002974A3">
        <w:rPr>
          <w:lang w:eastAsia="fr-FR" w:bidi="fr-FR"/>
        </w:rPr>
        <w:t>tions des professeurs et en particulier celles relatives à leur syndical</w:t>
      </w:r>
      <w:r w:rsidRPr="002974A3">
        <w:rPr>
          <w:lang w:eastAsia="fr-FR" w:bidi="fr-FR"/>
        </w:rPr>
        <w:t>i</w:t>
      </w:r>
      <w:r w:rsidRPr="002974A3">
        <w:rPr>
          <w:lang w:eastAsia="fr-FR" w:bidi="fr-FR"/>
        </w:rPr>
        <w:t>sation varient en fonction à la fois de leur propre position hiérarchique et de la position de leur discipline au sein du système universitaire. Ainsi, lor</w:t>
      </w:r>
      <w:r w:rsidRPr="002974A3">
        <w:rPr>
          <w:lang w:eastAsia="fr-FR" w:bidi="fr-FR"/>
        </w:rPr>
        <w:t>s</w:t>
      </w:r>
      <w:r w:rsidRPr="002974A3">
        <w:rPr>
          <w:lang w:eastAsia="fr-FR" w:bidi="fr-FR"/>
        </w:rPr>
        <w:t>qu’en 1967 le Syndicat (SPUM) des Professeurs de l’Université de Montréal entreprend une véritable campagne de recr</w:t>
      </w:r>
      <w:r w:rsidRPr="002974A3">
        <w:rPr>
          <w:lang w:eastAsia="fr-FR" w:bidi="fr-FR"/>
        </w:rPr>
        <w:t>u</w:t>
      </w:r>
      <w:r w:rsidRPr="002974A3">
        <w:rPr>
          <w:lang w:eastAsia="fr-FR" w:bidi="fr-FR"/>
        </w:rPr>
        <w:t>tement, l’attitude des chargés d’enseignement et des professeurs a</w:t>
      </w:r>
      <w:r w:rsidRPr="002974A3">
        <w:rPr>
          <w:lang w:eastAsia="fr-FR" w:bidi="fr-FR"/>
        </w:rPr>
        <w:t>d</w:t>
      </w:r>
      <w:r>
        <w:rPr>
          <w:lang w:eastAsia="fr-FR" w:bidi="fr-FR"/>
        </w:rPr>
        <w:lastRenderedPageBreak/>
        <w:t>joints, c’est-à-</w:t>
      </w:r>
      <w:r w:rsidRPr="002974A3">
        <w:rPr>
          <w:lang w:eastAsia="fr-FR" w:bidi="fr-FR"/>
        </w:rPr>
        <w:t>dire de ceux qui viennent d’accéder à la carrière unive</w:t>
      </w:r>
      <w:r w:rsidRPr="002974A3">
        <w:rPr>
          <w:lang w:eastAsia="fr-FR" w:bidi="fr-FR"/>
        </w:rPr>
        <w:t>r</w:t>
      </w:r>
      <w:r w:rsidRPr="002974A3">
        <w:rPr>
          <w:lang w:eastAsia="fr-FR" w:bidi="fr-FR"/>
        </w:rPr>
        <w:t>sitaire et qui n’ont pas</w:t>
      </w:r>
    </w:p>
    <w:p w:rsidR="007A22E0" w:rsidRDefault="007A22E0" w:rsidP="007A22E0">
      <w:pPr>
        <w:spacing w:before="120" w:after="120"/>
        <w:jc w:val="both"/>
        <w:rPr>
          <w:lang w:eastAsia="fr-FR" w:bidi="fr-FR"/>
        </w:rPr>
      </w:pPr>
    </w:p>
    <w:p w:rsidR="007A22E0" w:rsidRPr="002974A3" w:rsidRDefault="007A22E0" w:rsidP="007A22E0">
      <w:pPr>
        <w:pStyle w:val="figtitre"/>
      </w:pPr>
      <w:r w:rsidRPr="002974A3">
        <w:t>Tableau 1</w:t>
      </w:r>
    </w:p>
    <w:p w:rsidR="007A22E0" w:rsidRPr="00031F90" w:rsidRDefault="007A22E0" w:rsidP="007A22E0">
      <w:pPr>
        <w:pStyle w:val="figst"/>
        <w:rPr>
          <w:szCs w:val="2"/>
        </w:rPr>
      </w:pPr>
      <w:r w:rsidRPr="002974A3">
        <w:t>Répartition des professeurs à l</w:t>
      </w:r>
      <w:r>
        <w:t>'Université de Montréal</w:t>
      </w:r>
      <w:r>
        <w:br/>
      </w:r>
      <w:r w:rsidRPr="002974A3">
        <w:t>et au SPUM par rang académique (30 novembre 1967)</w:t>
      </w:r>
      <w:r>
        <w:t> </w:t>
      </w:r>
      <w:r>
        <w:rPr>
          <w:rStyle w:val="Appelnotedebasdep"/>
          <w:szCs w:val="24"/>
        </w:rPr>
        <w:footnoteReference w:id="2"/>
      </w:r>
    </w:p>
    <w:tbl>
      <w:tblPr>
        <w:tblOverlap w:val="never"/>
        <w:tblW w:w="0" w:type="auto"/>
        <w:tblLayout w:type="fixed"/>
        <w:tblCellMar>
          <w:left w:w="10" w:type="dxa"/>
          <w:right w:w="10" w:type="dxa"/>
        </w:tblCellMar>
        <w:tblLook w:val="0000" w:firstRow="0" w:lastRow="0" w:firstColumn="0" w:lastColumn="0" w:noHBand="0" w:noVBand="0"/>
      </w:tblPr>
      <w:tblGrid>
        <w:gridCol w:w="2791"/>
        <w:gridCol w:w="1285"/>
        <w:gridCol w:w="1285"/>
        <w:gridCol w:w="1285"/>
        <w:gridCol w:w="1285"/>
      </w:tblGrid>
      <w:tr w:rsidR="007A22E0" w:rsidRPr="00031F90">
        <w:tblPrEx>
          <w:tblCellMar>
            <w:top w:w="0" w:type="dxa"/>
            <w:bottom w:w="0" w:type="dxa"/>
          </w:tblCellMar>
        </w:tblPrEx>
        <w:tc>
          <w:tcPr>
            <w:tcW w:w="2791" w:type="dxa"/>
            <w:vMerge w:val="restart"/>
            <w:tcBorders>
              <w:top w:val="single" w:sz="4" w:space="0" w:color="auto"/>
            </w:tcBorders>
            <w:shd w:val="clear" w:color="auto" w:fill="EEECE1"/>
            <w:vAlign w:val="bottom"/>
          </w:tcPr>
          <w:p w:rsidR="007A22E0" w:rsidRPr="00031F90" w:rsidRDefault="007A22E0" w:rsidP="007A22E0">
            <w:pPr>
              <w:spacing w:before="120" w:after="120"/>
              <w:ind w:left="90" w:right="92" w:firstLine="0"/>
              <w:jc w:val="both"/>
              <w:rPr>
                <w:sz w:val="24"/>
              </w:rPr>
            </w:pPr>
          </w:p>
        </w:tc>
        <w:tc>
          <w:tcPr>
            <w:tcW w:w="2570" w:type="dxa"/>
            <w:gridSpan w:val="2"/>
            <w:tcBorders>
              <w:top w:val="single" w:sz="4" w:space="0" w:color="auto"/>
            </w:tcBorders>
            <w:shd w:val="clear" w:color="auto" w:fill="EEECE1"/>
            <w:vAlign w:val="bottom"/>
          </w:tcPr>
          <w:p w:rsidR="007A22E0" w:rsidRPr="00031F90" w:rsidRDefault="007A22E0" w:rsidP="007A22E0">
            <w:pPr>
              <w:spacing w:before="120" w:after="120"/>
              <w:ind w:left="90" w:right="92" w:firstLine="0"/>
              <w:jc w:val="center"/>
              <w:rPr>
                <w:sz w:val="24"/>
              </w:rPr>
            </w:pPr>
            <w:r>
              <w:rPr>
                <w:sz w:val="24"/>
              </w:rPr>
              <w:t>Syndicat</w:t>
            </w:r>
          </w:p>
        </w:tc>
        <w:tc>
          <w:tcPr>
            <w:tcW w:w="2570" w:type="dxa"/>
            <w:gridSpan w:val="2"/>
            <w:tcBorders>
              <w:top w:val="single" w:sz="4" w:space="0" w:color="auto"/>
            </w:tcBorders>
            <w:shd w:val="clear" w:color="auto" w:fill="EEECE1"/>
            <w:vAlign w:val="bottom"/>
          </w:tcPr>
          <w:p w:rsidR="007A22E0" w:rsidRPr="00031F90" w:rsidRDefault="007A22E0" w:rsidP="007A22E0">
            <w:pPr>
              <w:spacing w:before="120" w:after="120"/>
              <w:ind w:left="90" w:right="92" w:firstLine="0"/>
              <w:jc w:val="center"/>
              <w:rPr>
                <w:sz w:val="24"/>
              </w:rPr>
            </w:pPr>
            <w:r>
              <w:rPr>
                <w:sz w:val="24"/>
              </w:rPr>
              <w:t>Université</w:t>
            </w:r>
          </w:p>
        </w:tc>
      </w:tr>
      <w:tr w:rsidR="007A22E0" w:rsidRPr="00031F90">
        <w:tblPrEx>
          <w:tblCellMar>
            <w:top w:w="0" w:type="dxa"/>
            <w:bottom w:w="0" w:type="dxa"/>
          </w:tblCellMar>
        </w:tblPrEx>
        <w:tc>
          <w:tcPr>
            <w:tcW w:w="2791" w:type="dxa"/>
            <w:vMerge/>
            <w:shd w:val="clear" w:color="auto" w:fill="EEECE1"/>
            <w:vAlign w:val="bottom"/>
          </w:tcPr>
          <w:p w:rsidR="007A22E0" w:rsidRPr="00031F90" w:rsidRDefault="007A22E0" w:rsidP="007A22E0">
            <w:pPr>
              <w:spacing w:before="120" w:after="120"/>
              <w:ind w:left="90" w:right="92" w:firstLine="0"/>
              <w:jc w:val="both"/>
              <w:rPr>
                <w:sz w:val="24"/>
              </w:rPr>
            </w:pPr>
          </w:p>
        </w:tc>
        <w:tc>
          <w:tcPr>
            <w:tcW w:w="1285" w:type="dxa"/>
            <w:tcBorders>
              <w:top w:val="single" w:sz="4" w:space="0" w:color="auto"/>
            </w:tcBorders>
            <w:shd w:val="clear" w:color="auto" w:fill="EEECE1"/>
            <w:vAlign w:val="bottom"/>
          </w:tcPr>
          <w:p w:rsidR="007A22E0" w:rsidRPr="00031F90" w:rsidRDefault="007A22E0" w:rsidP="007A22E0">
            <w:pPr>
              <w:spacing w:before="120" w:after="120"/>
              <w:ind w:left="90" w:right="92" w:firstLine="0"/>
              <w:jc w:val="center"/>
              <w:rPr>
                <w:sz w:val="24"/>
              </w:rPr>
            </w:pPr>
            <w:r>
              <w:rPr>
                <w:sz w:val="24"/>
              </w:rPr>
              <w:t>Nombre</w:t>
            </w:r>
          </w:p>
        </w:tc>
        <w:tc>
          <w:tcPr>
            <w:tcW w:w="1285" w:type="dxa"/>
            <w:tcBorders>
              <w:top w:val="single" w:sz="4" w:space="0" w:color="auto"/>
            </w:tcBorders>
            <w:shd w:val="clear" w:color="auto" w:fill="EEECE1"/>
            <w:vAlign w:val="bottom"/>
          </w:tcPr>
          <w:p w:rsidR="007A22E0" w:rsidRPr="00031F90" w:rsidRDefault="007A22E0" w:rsidP="007A22E0">
            <w:pPr>
              <w:spacing w:before="120" w:after="120"/>
              <w:ind w:left="90" w:right="92" w:firstLine="0"/>
              <w:jc w:val="center"/>
              <w:rPr>
                <w:sz w:val="24"/>
              </w:rPr>
            </w:pPr>
            <w:r>
              <w:rPr>
                <w:sz w:val="24"/>
              </w:rPr>
              <w:t>%</w:t>
            </w:r>
          </w:p>
        </w:tc>
        <w:tc>
          <w:tcPr>
            <w:tcW w:w="1285" w:type="dxa"/>
            <w:tcBorders>
              <w:top w:val="single" w:sz="4" w:space="0" w:color="auto"/>
            </w:tcBorders>
            <w:shd w:val="clear" w:color="auto" w:fill="EEECE1"/>
            <w:vAlign w:val="bottom"/>
          </w:tcPr>
          <w:p w:rsidR="007A22E0" w:rsidRPr="00031F90" w:rsidRDefault="007A22E0" w:rsidP="007A22E0">
            <w:pPr>
              <w:spacing w:before="120" w:after="120"/>
              <w:ind w:left="90" w:right="92" w:firstLine="0"/>
              <w:jc w:val="center"/>
              <w:rPr>
                <w:sz w:val="24"/>
              </w:rPr>
            </w:pPr>
            <w:r>
              <w:rPr>
                <w:sz w:val="24"/>
              </w:rPr>
              <w:t>Nombre</w:t>
            </w:r>
          </w:p>
        </w:tc>
        <w:tc>
          <w:tcPr>
            <w:tcW w:w="1285" w:type="dxa"/>
            <w:tcBorders>
              <w:top w:val="single" w:sz="4" w:space="0" w:color="auto"/>
            </w:tcBorders>
            <w:shd w:val="clear" w:color="auto" w:fill="EEECE1"/>
            <w:vAlign w:val="bottom"/>
          </w:tcPr>
          <w:p w:rsidR="007A22E0" w:rsidRPr="00031F90" w:rsidRDefault="007A22E0" w:rsidP="007A22E0">
            <w:pPr>
              <w:spacing w:before="120" w:after="120"/>
              <w:ind w:left="90" w:right="92" w:firstLine="0"/>
              <w:jc w:val="center"/>
              <w:rPr>
                <w:sz w:val="24"/>
              </w:rPr>
            </w:pPr>
            <w:r>
              <w:rPr>
                <w:sz w:val="24"/>
              </w:rPr>
              <w:t>%</w:t>
            </w:r>
          </w:p>
        </w:tc>
      </w:tr>
      <w:tr w:rsidR="007A22E0" w:rsidRPr="00031F90">
        <w:tblPrEx>
          <w:tblCellMar>
            <w:top w:w="0" w:type="dxa"/>
            <w:bottom w:w="0" w:type="dxa"/>
          </w:tblCellMar>
        </w:tblPrEx>
        <w:tc>
          <w:tcPr>
            <w:tcW w:w="2791" w:type="dxa"/>
            <w:tcBorders>
              <w:top w:val="single" w:sz="4" w:space="0" w:color="auto"/>
            </w:tcBorders>
            <w:shd w:val="clear" w:color="auto" w:fill="FFFFFF"/>
            <w:vAlign w:val="bottom"/>
          </w:tcPr>
          <w:p w:rsidR="007A22E0" w:rsidRPr="00031F90" w:rsidRDefault="007A22E0" w:rsidP="007A22E0">
            <w:pPr>
              <w:spacing w:before="60" w:after="60"/>
              <w:ind w:left="86" w:right="86" w:firstLine="0"/>
              <w:jc w:val="both"/>
              <w:rPr>
                <w:sz w:val="24"/>
              </w:rPr>
            </w:pPr>
            <w:r w:rsidRPr="00031F90">
              <w:rPr>
                <w:sz w:val="24"/>
              </w:rPr>
              <w:t>Titulaires</w:t>
            </w:r>
          </w:p>
        </w:tc>
        <w:tc>
          <w:tcPr>
            <w:tcW w:w="1285" w:type="dxa"/>
            <w:tcBorders>
              <w:top w:val="single" w:sz="4" w:space="0" w:color="auto"/>
            </w:tcBorders>
            <w:shd w:val="clear" w:color="auto" w:fill="FFFFFF"/>
            <w:vAlign w:val="bottom"/>
          </w:tcPr>
          <w:p w:rsidR="007A22E0" w:rsidRPr="00031F90" w:rsidRDefault="007A22E0" w:rsidP="007A22E0">
            <w:pPr>
              <w:tabs>
                <w:tab w:val="decimal" w:pos="788"/>
              </w:tabs>
              <w:spacing w:before="60" w:after="60"/>
              <w:ind w:left="86" w:right="86" w:firstLine="0"/>
              <w:jc w:val="both"/>
              <w:rPr>
                <w:sz w:val="24"/>
              </w:rPr>
            </w:pPr>
            <w:r w:rsidRPr="00031F90">
              <w:rPr>
                <w:sz w:val="24"/>
              </w:rPr>
              <w:t>14</w:t>
            </w:r>
          </w:p>
        </w:tc>
        <w:tc>
          <w:tcPr>
            <w:tcW w:w="1285" w:type="dxa"/>
            <w:tcBorders>
              <w:top w:val="single" w:sz="4" w:space="0" w:color="auto"/>
            </w:tcBorders>
            <w:shd w:val="clear" w:color="auto" w:fill="FFFFFF"/>
            <w:vAlign w:val="bottom"/>
          </w:tcPr>
          <w:p w:rsidR="007A22E0" w:rsidRPr="00031F90" w:rsidRDefault="007A22E0" w:rsidP="007A22E0">
            <w:pPr>
              <w:tabs>
                <w:tab w:val="decimal" w:pos="788"/>
              </w:tabs>
              <w:spacing w:before="60" w:after="60"/>
              <w:ind w:left="86" w:right="86" w:firstLine="0"/>
              <w:jc w:val="both"/>
              <w:rPr>
                <w:sz w:val="24"/>
              </w:rPr>
            </w:pPr>
            <w:r w:rsidRPr="00031F90">
              <w:rPr>
                <w:sz w:val="24"/>
              </w:rPr>
              <w:t>7.0</w:t>
            </w:r>
          </w:p>
        </w:tc>
        <w:tc>
          <w:tcPr>
            <w:tcW w:w="1285" w:type="dxa"/>
            <w:tcBorders>
              <w:top w:val="single" w:sz="4" w:space="0" w:color="auto"/>
            </w:tcBorders>
            <w:shd w:val="clear" w:color="auto" w:fill="FFFFFF"/>
            <w:vAlign w:val="bottom"/>
          </w:tcPr>
          <w:p w:rsidR="007A22E0" w:rsidRPr="00031F90" w:rsidRDefault="007A22E0" w:rsidP="007A22E0">
            <w:pPr>
              <w:tabs>
                <w:tab w:val="decimal" w:pos="788"/>
              </w:tabs>
              <w:spacing w:before="60" w:after="60"/>
              <w:ind w:left="86" w:right="86" w:firstLine="0"/>
              <w:jc w:val="both"/>
              <w:rPr>
                <w:sz w:val="24"/>
              </w:rPr>
            </w:pPr>
            <w:r w:rsidRPr="00031F90">
              <w:rPr>
                <w:sz w:val="24"/>
              </w:rPr>
              <w:t>139</w:t>
            </w:r>
          </w:p>
        </w:tc>
        <w:tc>
          <w:tcPr>
            <w:tcW w:w="1285" w:type="dxa"/>
            <w:tcBorders>
              <w:top w:val="single" w:sz="4" w:space="0" w:color="auto"/>
            </w:tcBorders>
            <w:shd w:val="clear" w:color="auto" w:fill="FFFFFF"/>
            <w:vAlign w:val="bottom"/>
          </w:tcPr>
          <w:p w:rsidR="007A22E0" w:rsidRPr="00031F90" w:rsidRDefault="007A22E0" w:rsidP="007A22E0">
            <w:pPr>
              <w:tabs>
                <w:tab w:val="decimal" w:pos="788"/>
              </w:tabs>
              <w:spacing w:before="60" w:after="60"/>
              <w:ind w:left="86" w:right="86" w:firstLine="0"/>
              <w:jc w:val="both"/>
              <w:rPr>
                <w:sz w:val="24"/>
              </w:rPr>
            </w:pPr>
            <w:r w:rsidRPr="00031F90">
              <w:rPr>
                <w:sz w:val="24"/>
              </w:rPr>
              <w:t>15.7</w:t>
            </w:r>
          </w:p>
        </w:tc>
      </w:tr>
      <w:tr w:rsidR="007A22E0" w:rsidRPr="00031F90">
        <w:tblPrEx>
          <w:tblCellMar>
            <w:top w:w="0" w:type="dxa"/>
            <w:bottom w:w="0" w:type="dxa"/>
          </w:tblCellMar>
        </w:tblPrEx>
        <w:tc>
          <w:tcPr>
            <w:tcW w:w="2791" w:type="dxa"/>
            <w:shd w:val="clear" w:color="auto" w:fill="FFFFFF"/>
          </w:tcPr>
          <w:p w:rsidR="007A22E0" w:rsidRPr="00031F90" w:rsidRDefault="007A22E0" w:rsidP="007A22E0">
            <w:pPr>
              <w:spacing w:before="60" w:after="60"/>
              <w:ind w:left="86" w:right="86" w:firstLine="0"/>
              <w:jc w:val="both"/>
              <w:rPr>
                <w:sz w:val="24"/>
              </w:rPr>
            </w:pPr>
            <w:r w:rsidRPr="00031F90">
              <w:rPr>
                <w:sz w:val="24"/>
              </w:rPr>
              <w:t>Agrégés</w:t>
            </w:r>
          </w:p>
        </w:tc>
        <w:tc>
          <w:tcPr>
            <w:tcW w:w="1285" w:type="dxa"/>
            <w:shd w:val="clear" w:color="auto" w:fill="FFFFFF"/>
            <w:vAlign w:val="bottom"/>
          </w:tcPr>
          <w:p w:rsidR="007A22E0" w:rsidRPr="00031F90" w:rsidRDefault="007A22E0" w:rsidP="007A22E0">
            <w:pPr>
              <w:tabs>
                <w:tab w:val="decimal" w:pos="788"/>
              </w:tabs>
              <w:spacing w:before="60" w:after="60"/>
              <w:ind w:left="86" w:right="86" w:firstLine="0"/>
              <w:jc w:val="both"/>
              <w:rPr>
                <w:sz w:val="24"/>
              </w:rPr>
            </w:pPr>
            <w:r w:rsidRPr="00031F90">
              <w:rPr>
                <w:sz w:val="24"/>
              </w:rPr>
              <w:t>26</w:t>
            </w:r>
          </w:p>
        </w:tc>
        <w:tc>
          <w:tcPr>
            <w:tcW w:w="1285" w:type="dxa"/>
            <w:shd w:val="clear" w:color="auto" w:fill="FFFFFF"/>
          </w:tcPr>
          <w:p w:rsidR="007A22E0" w:rsidRPr="00031F90" w:rsidRDefault="007A22E0" w:rsidP="007A22E0">
            <w:pPr>
              <w:tabs>
                <w:tab w:val="decimal" w:pos="788"/>
              </w:tabs>
              <w:spacing w:before="60" w:after="60"/>
              <w:ind w:left="86" w:right="86" w:firstLine="0"/>
              <w:jc w:val="both"/>
              <w:rPr>
                <w:sz w:val="24"/>
              </w:rPr>
            </w:pPr>
            <w:r w:rsidRPr="00031F90">
              <w:rPr>
                <w:sz w:val="24"/>
              </w:rPr>
              <w:t>12.9</w:t>
            </w:r>
          </w:p>
        </w:tc>
        <w:tc>
          <w:tcPr>
            <w:tcW w:w="1285" w:type="dxa"/>
            <w:shd w:val="clear" w:color="auto" w:fill="FFFFFF"/>
            <w:vAlign w:val="bottom"/>
          </w:tcPr>
          <w:p w:rsidR="007A22E0" w:rsidRPr="00031F90" w:rsidRDefault="007A22E0" w:rsidP="007A22E0">
            <w:pPr>
              <w:tabs>
                <w:tab w:val="decimal" w:pos="788"/>
              </w:tabs>
              <w:spacing w:before="60" w:after="60"/>
              <w:ind w:left="86" w:right="86" w:firstLine="0"/>
              <w:jc w:val="both"/>
              <w:rPr>
                <w:sz w:val="24"/>
              </w:rPr>
            </w:pPr>
            <w:r w:rsidRPr="00031F90">
              <w:rPr>
                <w:sz w:val="24"/>
              </w:rPr>
              <w:t>181</w:t>
            </w:r>
          </w:p>
        </w:tc>
        <w:tc>
          <w:tcPr>
            <w:tcW w:w="1285" w:type="dxa"/>
            <w:shd w:val="clear" w:color="auto" w:fill="FFFFFF"/>
          </w:tcPr>
          <w:p w:rsidR="007A22E0" w:rsidRPr="00031F90" w:rsidRDefault="007A22E0" w:rsidP="007A22E0">
            <w:pPr>
              <w:tabs>
                <w:tab w:val="decimal" w:pos="788"/>
              </w:tabs>
              <w:spacing w:before="60" w:after="60"/>
              <w:ind w:left="86" w:right="86" w:firstLine="0"/>
              <w:jc w:val="both"/>
              <w:rPr>
                <w:sz w:val="24"/>
              </w:rPr>
            </w:pPr>
            <w:r w:rsidRPr="00031F90">
              <w:rPr>
                <w:sz w:val="24"/>
              </w:rPr>
              <w:t>22.5</w:t>
            </w:r>
          </w:p>
        </w:tc>
      </w:tr>
      <w:tr w:rsidR="007A22E0" w:rsidRPr="00031F90">
        <w:tblPrEx>
          <w:tblCellMar>
            <w:top w:w="0" w:type="dxa"/>
            <w:bottom w:w="0" w:type="dxa"/>
          </w:tblCellMar>
        </w:tblPrEx>
        <w:tc>
          <w:tcPr>
            <w:tcW w:w="2791" w:type="dxa"/>
            <w:shd w:val="clear" w:color="auto" w:fill="FFFFFF"/>
          </w:tcPr>
          <w:p w:rsidR="007A22E0" w:rsidRPr="00031F90" w:rsidRDefault="007A22E0" w:rsidP="007A22E0">
            <w:pPr>
              <w:spacing w:before="60" w:after="60"/>
              <w:ind w:left="86" w:right="86" w:firstLine="0"/>
              <w:jc w:val="both"/>
              <w:rPr>
                <w:sz w:val="24"/>
              </w:rPr>
            </w:pPr>
            <w:r w:rsidRPr="00031F90">
              <w:rPr>
                <w:sz w:val="24"/>
              </w:rPr>
              <w:t>Assistants</w:t>
            </w:r>
          </w:p>
        </w:tc>
        <w:tc>
          <w:tcPr>
            <w:tcW w:w="1285" w:type="dxa"/>
            <w:shd w:val="clear" w:color="auto" w:fill="FFFFFF"/>
          </w:tcPr>
          <w:p w:rsidR="007A22E0" w:rsidRPr="00031F90" w:rsidRDefault="007A22E0" w:rsidP="007A22E0">
            <w:pPr>
              <w:tabs>
                <w:tab w:val="decimal" w:pos="788"/>
              </w:tabs>
              <w:spacing w:before="60" w:after="60"/>
              <w:ind w:left="86" w:right="86" w:firstLine="0"/>
              <w:jc w:val="both"/>
              <w:rPr>
                <w:sz w:val="24"/>
              </w:rPr>
            </w:pPr>
            <w:r w:rsidRPr="00031F90">
              <w:rPr>
                <w:sz w:val="24"/>
              </w:rPr>
              <w:t>56</w:t>
            </w:r>
          </w:p>
        </w:tc>
        <w:tc>
          <w:tcPr>
            <w:tcW w:w="1285" w:type="dxa"/>
            <w:shd w:val="clear" w:color="auto" w:fill="FFFFFF"/>
          </w:tcPr>
          <w:p w:rsidR="007A22E0" w:rsidRPr="00031F90" w:rsidRDefault="007A22E0" w:rsidP="007A22E0">
            <w:pPr>
              <w:tabs>
                <w:tab w:val="decimal" w:pos="788"/>
              </w:tabs>
              <w:spacing w:before="60" w:after="60"/>
              <w:ind w:left="86" w:right="86" w:firstLine="0"/>
              <w:jc w:val="both"/>
              <w:rPr>
                <w:sz w:val="24"/>
              </w:rPr>
            </w:pPr>
            <w:r w:rsidRPr="00031F90">
              <w:rPr>
                <w:sz w:val="24"/>
              </w:rPr>
              <w:t>27.9</w:t>
            </w:r>
          </w:p>
        </w:tc>
        <w:tc>
          <w:tcPr>
            <w:tcW w:w="1285" w:type="dxa"/>
            <w:shd w:val="clear" w:color="auto" w:fill="FFFFFF"/>
            <w:vAlign w:val="bottom"/>
          </w:tcPr>
          <w:p w:rsidR="007A22E0" w:rsidRPr="00031F90" w:rsidRDefault="007A22E0" w:rsidP="007A22E0">
            <w:pPr>
              <w:tabs>
                <w:tab w:val="decimal" w:pos="788"/>
              </w:tabs>
              <w:spacing w:before="60" w:after="60"/>
              <w:ind w:left="86" w:right="86" w:firstLine="0"/>
              <w:jc w:val="both"/>
              <w:rPr>
                <w:sz w:val="24"/>
              </w:rPr>
            </w:pPr>
            <w:r w:rsidRPr="00031F90">
              <w:rPr>
                <w:sz w:val="24"/>
              </w:rPr>
              <w:t>288</w:t>
            </w:r>
          </w:p>
        </w:tc>
        <w:tc>
          <w:tcPr>
            <w:tcW w:w="1285" w:type="dxa"/>
            <w:shd w:val="clear" w:color="auto" w:fill="FFFFFF"/>
          </w:tcPr>
          <w:p w:rsidR="007A22E0" w:rsidRPr="00031F90" w:rsidRDefault="007A22E0" w:rsidP="007A22E0">
            <w:pPr>
              <w:tabs>
                <w:tab w:val="decimal" w:pos="788"/>
              </w:tabs>
              <w:spacing w:before="60" w:after="60"/>
              <w:ind w:left="86" w:right="86" w:firstLine="0"/>
              <w:jc w:val="both"/>
              <w:rPr>
                <w:sz w:val="24"/>
              </w:rPr>
            </w:pPr>
            <w:r w:rsidRPr="00031F90">
              <w:rPr>
                <w:sz w:val="24"/>
              </w:rPr>
              <w:t>32.7</w:t>
            </w:r>
          </w:p>
        </w:tc>
      </w:tr>
      <w:tr w:rsidR="007A22E0" w:rsidRPr="00031F90">
        <w:tblPrEx>
          <w:tblCellMar>
            <w:top w:w="0" w:type="dxa"/>
            <w:bottom w:w="0" w:type="dxa"/>
          </w:tblCellMar>
        </w:tblPrEx>
        <w:tc>
          <w:tcPr>
            <w:tcW w:w="2791" w:type="dxa"/>
            <w:shd w:val="clear" w:color="auto" w:fill="FFFFFF"/>
          </w:tcPr>
          <w:p w:rsidR="007A22E0" w:rsidRPr="00031F90" w:rsidRDefault="007A22E0" w:rsidP="007A22E0">
            <w:pPr>
              <w:spacing w:before="60" w:after="60"/>
              <w:ind w:left="86" w:right="86" w:firstLine="0"/>
              <w:jc w:val="both"/>
              <w:rPr>
                <w:sz w:val="24"/>
              </w:rPr>
            </w:pPr>
            <w:r w:rsidRPr="00031F90">
              <w:rPr>
                <w:sz w:val="24"/>
              </w:rPr>
              <w:t>Chargés d’enseignement</w:t>
            </w:r>
          </w:p>
        </w:tc>
        <w:tc>
          <w:tcPr>
            <w:tcW w:w="1285" w:type="dxa"/>
            <w:shd w:val="clear" w:color="auto" w:fill="FFFFFF"/>
          </w:tcPr>
          <w:p w:rsidR="007A22E0" w:rsidRPr="00031F90" w:rsidRDefault="007A22E0" w:rsidP="007A22E0">
            <w:pPr>
              <w:tabs>
                <w:tab w:val="decimal" w:pos="788"/>
              </w:tabs>
              <w:spacing w:before="60" w:after="60"/>
              <w:ind w:left="86" w:right="86" w:firstLine="0"/>
              <w:jc w:val="both"/>
              <w:rPr>
                <w:sz w:val="24"/>
              </w:rPr>
            </w:pPr>
            <w:r w:rsidRPr="00031F90">
              <w:rPr>
                <w:sz w:val="24"/>
              </w:rPr>
              <w:t>105</w:t>
            </w:r>
          </w:p>
        </w:tc>
        <w:tc>
          <w:tcPr>
            <w:tcW w:w="1285" w:type="dxa"/>
            <w:shd w:val="clear" w:color="auto" w:fill="FFFFFF"/>
          </w:tcPr>
          <w:p w:rsidR="007A22E0" w:rsidRPr="00031F90" w:rsidRDefault="007A22E0" w:rsidP="007A22E0">
            <w:pPr>
              <w:tabs>
                <w:tab w:val="decimal" w:pos="788"/>
              </w:tabs>
              <w:spacing w:before="60" w:after="60"/>
              <w:ind w:left="86" w:right="86" w:firstLine="0"/>
              <w:jc w:val="both"/>
              <w:rPr>
                <w:sz w:val="24"/>
              </w:rPr>
            </w:pPr>
            <w:r w:rsidRPr="00031F90">
              <w:rPr>
                <w:sz w:val="24"/>
              </w:rPr>
              <w:t>52.2</w:t>
            </w:r>
          </w:p>
        </w:tc>
        <w:tc>
          <w:tcPr>
            <w:tcW w:w="1285" w:type="dxa"/>
            <w:shd w:val="clear" w:color="auto" w:fill="FFFFFF"/>
          </w:tcPr>
          <w:p w:rsidR="007A22E0" w:rsidRPr="00031F90" w:rsidRDefault="007A22E0" w:rsidP="007A22E0">
            <w:pPr>
              <w:tabs>
                <w:tab w:val="decimal" w:pos="788"/>
              </w:tabs>
              <w:spacing w:before="60" w:after="60"/>
              <w:ind w:left="86" w:right="86" w:firstLine="0"/>
              <w:jc w:val="both"/>
              <w:rPr>
                <w:sz w:val="24"/>
              </w:rPr>
            </w:pPr>
            <w:r w:rsidRPr="00031F90">
              <w:rPr>
                <w:sz w:val="24"/>
              </w:rPr>
              <w:t>274</w:t>
            </w:r>
          </w:p>
        </w:tc>
        <w:tc>
          <w:tcPr>
            <w:tcW w:w="1285" w:type="dxa"/>
            <w:shd w:val="clear" w:color="auto" w:fill="FFFFFF"/>
          </w:tcPr>
          <w:p w:rsidR="007A22E0" w:rsidRPr="00031F90" w:rsidRDefault="007A22E0" w:rsidP="007A22E0">
            <w:pPr>
              <w:tabs>
                <w:tab w:val="decimal" w:pos="788"/>
              </w:tabs>
              <w:spacing w:before="60" w:after="60"/>
              <w:ind w:left="86" w:right="86" w:firstLine="0"/>
              <w:jc w:val="both"/>
              <w:rPr>
                <w:sz w:val="24"/>
              </w:rPr>
            </w:pPr>
            <w:r w:rsidRPr="00031F90">
              <w:rPr>
                <w:sz w:val="24"/>
              </w:rPr>
              <w:t>36.1</w:t>
            </w:r>
          </w:p>
        </w:tc>
      </w:tr>
      <w:tr w:rsidR="007A22E0" w:rsidRPr="00031F90">
        <w:tblPrEx>
          <w:tblCellMar>
            <w:top w:w="0" w:type="dxa"/>
            <w:bottom w:w="0" w:type="dxa"/>
          </w:tblCellMar>
        </w:tblPrEx>
        <w:tc>
          <w:tcPr>
            <w:tcW w:w="2791" w:type="dxa"/>
            <w:tcBorders>
              <w:top w:val="single" w:sz="4" w:space="0" w:color="auto"/>
              <w:bottom w:val="single" w:sz="4" w:space="0" w:color="auto"/>
            </w:tcBorders>
            <w:shd w:val="clear" w:color="auto" w:fill="FFFFFF"/>
            <w:vAlign w:val="center"/>
          </w:tcPr>
          <w:p w:rsidR="007A22E0" w:rsidRPr="00031F90" w:rsidRDefault="007A22E0" w:rsidP="007A22E0">
            <w:pPr>
              <w:spacing w:before="120" w:after="120"/>
              <w:ind w:left="90" w:right="92" w:firstLine="0"/>
              <w:jc w:val="both"/>
              <w:rPr>
                <w:sz w:val="24"/>
              </w:rPr>
            </w:pPr>
            <w:r w:rsidRPr="00031F90">
              <w:rPr>
                <w:sz w:val="24"/>
              </w:rPr>
              <w:t>TOTAL</w:t>
            </w:r>
          </w:p>
        </w:tc>
        <w:tc>
          <w:tcPr>
            <w:tcW w:w="1285" w:type="dxa"/>
            <w:tcBorders>
              <w:top w:val="single" w:sz="4" w:space="0" w:color="auto"/>
              <w:bottom w:val="single" w:sz="4" w:space="0" w:color="auto"/>
            </w:tcBorders>
            <w:shd w:val="clear" w:color="auto" w:fill="FFFFFF"/>
            <w:vAlign w:val="center"/>
          </w:tcPr>
          <w:p w:rsidR="007A22E0" w:rsidRPr="00031F90" w:rsidRDefault="007A22E0" w:rsidP="007A22E0">
            <w:pPr>
              <w:tabs>
                <w:tab w:val="decimal" w:pos="788"/>
              </w:tabs>
              <w:spacing w:before="120" w:after="120"/>
              <w:ind w:left="90" w:right="92" w:firstLine="0"/>
              <w:jc w:val="both"/>
              <w:rPr>
                <w:sz w:val="24"/>
              </w:rPr>
            </w:pPr>
            <w:r w:rsidRPr="00031F90">
              <w:rPr>
                <w:sz w:val="24"/>
              </w:rPr>
              <w:t>201</w:t>
            </w:r>
          </w:p>
        </w:tc>
        <w:tc>
          <w:tcPr>
            <w:tcW w:w="1285" w:type="dxa"/>
            <w:tcBorders>
              <w:top w:val="single" w:sz="4" w:space="0" w:color="auto"/>
              <w:bottom w:val="single" w:sz="4" w:space="0" w:color="auto"/>
            </w:tcBorders>
            <w:shd w:val="clear" w:color="auto" w:fill="FFFFFF"/>
            <w:vAlign w:val="center"/>
          </w:tcPr>
          <w:p w:rsidR="007A22E0" w:rsidRPr="00031F90" w:rsidRDefault="007A22E0" w:rsidP="007A22E0">
            <w:pPr>
              <w:tabs>
                <w:tab w:val="decimal" w:pos="788"/>
              </w:tabs>
              <w:spacing w:before="120" w:after="120"/>
              <w:ind w:left="90" w:right="92" w:firstLine="0"/>
              <w:jc w:val="both"/>
              <w:rPr>
                <w:sz w:val="24"/>
              </w:rPr>
            </w:pPr>
            <w:r w:rsidRPr="00031F90">
              <w:rPr>
                <w:sz w:val="24"/>
              </w:rPr>
              <w:t>100.0</w:t>
            </w:r>
          </w:p>
        </w:tc>
        <w:tc>
          <w:tcPr>
            <w:tcW w:w="1285" w:type="dxa"/>
            <w:tcBorders>
              <w:top w:val="single" w:sz="4" w:space="0" w:color="auto"/>
              <w:bottom w:val="single" w:sz="4" w:space="0" w:color="auto"/>
            </w:tcBorders>
            <w:shd w:val="clear" w:color="auto" w:fill="FFFFFF"/>
            <w:vAlign w:val="center"/>
          </w:tcPr>
          <w:p w:rsidR="007A22E0" w:rsidRPr="00031F90" w:rsidRDefault="007A22E0" w:rsidP="007A22E0">
            <w:pPr>
              <w:tabs>
                <w:tab w:val="decimal" w:pos="788"/>
              </w:tabs>
              <w:spacing w:before="120" w:after="120"/>
              <w:ind w:left="90" w:right="92" w:firstLine="0"/>
              <w:jc w:val="both"/>
              <w:rPr>
                <w:sz w:val="24"/>
              </w:rPr>
            </w:pPr>
            <w:r w:rsidRPr="00031F90">
              <w:rPr>
                <w:sz w:val="24"/>
              </w:rPr>
              <w:t>882</w:t>
            </w:r>
          </w:p>
        </w:tc>
        <w:tc>
          <w:tcPr>
            <w:tcW w:w="1285" w:type="dxa"/>
            <w:tcBorders>
              <w:top w:val="single" w:sz="4" w:space="0" w:color="auto"/>
              <w:bottom w:val="single" w:sz="4" w:space="0" w:color="auto"/>
            </w:tcBorders>
            <w:shd w:val="clear" w:color="auto" w:fill="FFFFFF"/>
            <w:vAlign w:val="center"/>
          </w:tcPr>
          <w:p w:rsidR="007A22E0" w:rsidRPr="00031F90" w:rsidRDefault="007A22E0" w:rsidP="007A22E0">
            <w:pPr>
              <w:tabs>
                <w:tab w:val="decimal" w:pos="788"/>
              </w:tabs>
              <w:spacing w:before="120" w:after="120"/>
              <w:ind w:left="90" w:right="92" w:firstLine="0"/>
              <w:jc w:val="both"/>
              <w:rPr>
                <w:sz w:val="24"/>
              </w:rPr>
            </w:pPr>
            <w:r w:rsidRPr="00031F90">
              <w:rPr>
                <w:sz w:val="24"/>
              </w:rPr>
              <w:t>100.0</w:t>
            </w:r>
          </w:p>
        </w:tc>
      </w:tr>
    </w:tbl>
    <w:p w:rsidR="007A22E0" w:rsidRDefault="007A22E0" w:rsidP="007A22E0">
      <w:pPr>
        <w:spacing w:before="120" w:after="120"/>
        <w:jc w:val="both"/>
        <w:rPr>
          <w:vertAlign w:val="superscript"/>
          <w:lang w:eastAsia="fr-FR" w:bidi="fr-FR"/>
        </w:rPr>
      </w:pPr>
    </w:p>
    <w:p w:rsidR="007A22E0" w:rsidRPr="002974A3" w:rsidRDefault="007A22E0" w:rsidP="007A22E0">
      <w:pPr>
        <w:spacing w:before="120" w:after="120"/>
        <w:ind w:firstLine="0"/>
        <w:jc w:val="both"/>
      </w:pPr>
      <w:r>
        <w:rPr>
          <w:lang w:eastAsia="fr-FR" w:bidi="fr-FR"/>
        </w:rPr>
        <w:t>[31]</w:t>
      </w:r>
    </w:p>
    <w:p w:rsidR="007A22E0" w:rsidRPr="002974A3" w:rsidRDefault="007A22E0" w:rsidP="007A22E0">
      <w:pPr>
        <w:spacing w:before="120" w:after="120"/>
        <w:ind w:firstLine="0"/>
        <w:jc w:val="both"/>
      </w:pPr>
      <w:proofErr w:type="gramStart"/>
      <w:r w:rsidRPr="002974A3">
        <w:rPr>
          <w:lang w:eastAsia="fr-FR" w:bidi="fr-FR"/>
        </w:rPr>
        <w:t>acquis</w:t>
      </w:r>
      <w:proofErr w:type="gramEnd"/>
      <w:r w:rsidRPr="002974A3">
        <w:rPr>
          <w:lang w:eastAsia="fr-FR" w:bidi="fr-FR"/>
        </w:rPr>
        <w:t xml:space="preserve"> la permanence, est beaucoup plus favorable que celle des pr</w:t>
      </w:r>
      <w:r w:rsidRPr="002974A3">
        <w:rPr>
          <w:lang w:eastAsia="fr-FR" w:bidi="fr-FR"/>
        </w:rPr>
        <w:t>o</w:t>
      </w:r>
      <w:r w:rsidRPr="002974A3">
        <w:rPr>
          <w:lang w:eastAsia="fr-FR" w:bidi="fr-FR"/>
        </w:rPr>
        <w:t>fesseurs agrégés et titulaires.</w:t>
      </w:r>
    </w:p>
    <w:p w:rsidR="007A22E0" w:rsidRPr="002974A3" w:rsidRDefault="007A22E0" w:rsidP="007A22E0">
      <w:pPr>
        <w:spacing w:before="120" w:after="120"/>
        <w:jc w:val="both"/>
      </w:pPr>
      <w:r w:rsidRPr="002974A3">
        <w:rPr>
          <w:lang w:eastAsia="fr-FR" w:bidi="fr-FR"/>
        </w:rPr>
        <w:t xml:space="preserve">De plus, il semble bien que le recrutement </w:t>
      </w:r>
      <w:proofErr w:type="gramStart"/>
      <w:r w:rsidRPr="002974A3">
        <w:rPr>
          <w:lang w:eastAsia="fr-FR" w:bidi="fr-FR"/>
        </w:rPr>
        <w:t>est</w:t>
      </w:r>
      <w:proofErr w:type="gramEnd"/>
      <w:r w:rsidRPr="002974A3">
        <w:rPr>
          <w:lang w:eastAsia="fr-FR" w:bidi="fr-FR"/>
        </w:rPr>
        <w:t xml:space="preserve"> alors bea</w:t>
      </w:r>
      <w:r w:rsidRPr="002974A3">
        <w:rPr>
          <w:lang w:eastAsia="fr-FR" w:bidi="fr-FR"/>
        </w:rPr>
        <w:t>u</w:t>
      </w:r>
      <w:r w:rsidRPr="002974A3">
        <w:rPr>
          <w:lang w:eastAsia="fr-FR" w:bidi="fr-FR"/>
        </w:rPr>
        <w:t>coup plus difficile auprès des collègues de Droit, de Médecine et de Chirurgie dentaire qu’auprès des collègues des Sciences sociales et humaines et des Sciences de l’éducation : en n</w:t>
      </w:r>
      <w:r w:rsidRPr="002974A3">
        <w:rPr>
          <w:lang w:eastAsia="fr-FR" w:bidi="fr-FR"/>
        </w:rPr>
        <w:t>o</w:t>
      </w:r>
      <w:r w:rsidRPr="002974A3">
        <w:rPr>
          <w:lang w:eastAsia="fr-FR" w:bidi="fr-FR"/>
        </w:rPr>
        <w:t>vembre 1972, le pourcentage des professeurs en Sciences de la santé qui sont membres du Syndicat g</w:t>
      </w:r>
      <w:r w:rsidRPr="002974A3">
        <w:rPr>
          <w:lang w:eastAsia="fr-FR" w:bidi="fr-FR"/>
        </w:rPr>
        <w:t>é</w:t>
      </w:r>
      <w:r w:rsidRPr="002974A3">
        <w:rPr>
          <w:lang w:eastAsia="fr-FR" w:bidi="fr-FR"/>
        </w:rPr>
        <w:t>néral des Profe</w:t>
      </w:r>
      <w:r w:rsidRPr="002974A3">
        <w:rPr>
          <w:lang w:eastAsia="fr-FR" w:bidi="fr-FR"/>
        </w:rPr>
        <w:t>s</w:t>
      </w:r>
      <w:r w:rsidRPr="002974A3">
        <w:rPr>
          <w:lang w:eastAsia="fr-FR" w:bidi="fr-FR"/>
        </w:rPr>
        <w:t xml:space="preserve">seurs de l’Université de Montréal (SGPUM) n’est que de 10.9%. Quant aux professeurs de la Faculté de Droit, ils sont aussi très peu nombreux </w:t>
      </w:r>
      <w:r w:rsidRPr="002974A3">
        <w:t xml:space="preserve">(2%) </w:t>
      </w:r>
      <w:r w:rsidRPr="002974A3">
        <w:rPr>
          <w:lang w:eastAsia="fr-FR" w:bidi="fr-FR"/>
        </w:rPr>
        <w:t>à l’intérieur du SGPUM, mais cela s’explique par le fait que ceux-ci effectuent alors un r</w:t>
      </w:r>
      <w:r w:rsidRPr="002974A3">
        <w:rPr>
          <w:lang w:eastAsia="fr-FR" w:bidi="fr-FR"/>
        </w:rPr>
        <w:t>e</w:t>
      </w:r>
      <w:r w:rsidRPr="002974A3">
        <w:rPr>
          <w:lang w:eastAsia="fr-FR" w:bidi="fr-FR"/>
        </w:rPr>
        <w:t>crutement pour leur propre syndicat et qu’ils tentent d’obtenir une accréditation différente. La majorité des membres du SGPUM provient alors des Sciences soci</w:t>
      </w:r>
      <w:r w:rsidRPr="002974A3">
        <w:rPr>
          <w:lang w:eastAsia="fr-FR" w:bidi="fr-FR"/>
        </w:rPr>
        <w:t>a</w:t>
      </w:r>
      <w:r w:rsidRPr="002974A3">
        <w:rPr>
          <w:lang w:eastAsia="fr-FR" w:bidi="fr-FR"/>
        </w:rPr>
        <w:t>les et humaines et des Sciences de l’éducation, où le taux de syndic</w:t>
      </w:r>
      <w:r w:rsidRPr="002974A3">
        <w:rPr>
          <w:lang w:eastAsia="fr-FR" w:bidi="fr-FR"/>
        </w:rPr>
        <w:t>a</w:t>
      </w:r>
      <w:r w:rsidRPr="002974A3">
        <w:rPr>
          <w:lang w:eastAsia="fr-FR" w:bidi="fr-FR"/>
        </w:rPr>
        <w:t>lisation est très élevé : ceux-ci constituent près de 60% des profe</w:t>
      </w:r>
      <w:r w:rsidRPr="002974A3">
        <w:rPr>
          <w:lang w:eastAsia="fr-FR" w:bidi="fr-FR"/>
        </w:rPr>
        <w:t>s</w:t>
      </w:r>
      <w:r w:rsidRPr="002974A3">
        <w:rPr>
          <w:lang w:eastAsia="fr-FR" w:bidi="fr-FR"/>
        </w:rPr>
        <w:t>seurs syndiqués. Cette surreprésentation des professeurs de ces disc</w:t>
      </w:r>
      <w:r w:rsidRPr="002974A3">
        <w:rPr>
          <w:lang w:eastAsia="fr-FR" w:bidi="fr-FR"/>
        </w:rPr>
        <w:t>i</w:t>
      </w:r>
      <w:r w:rsidRPr="002974A3">
        <w:rPr>
          <w:lang w:eastAsia="fr-FR" w:bidi="fr-FR"/>
        </w:rPr>
        <w:lastRenderedPageBreak/>
        <w:t>plines se manifeste aussi au niveau de l’exécutif du synd</w:t>
      </w:r>
      <w:r w:rsidRPr="002974A3">
        <w:rPr>
          <w:lang w:eastAsia="fr-FR" w:bidi="fr-FR"/>
        </w:rPr>
        <w:t>i</w:t>
      </w:r>
      <w:r w:rsidRPr="002974A3">
        <w:rPr>
          <w:lang w:eastAsia="fr-FR" w:bidi="fr-FR"/>
        </w:rPr>
        <w:t>cat : celui-ci est en 1968-1969, composé d’un seul professeur en sciences, d’un professeur de littérature et de trois profe</w:t>
      </w:r>
      <w:r w:rsidRPr="002974A3">
        <w:rPr>
          <w:lang w:eastAsia="fr-FR" w:bidi="fr-FR"/>
        </w:rPr>
        <w:t>s</w:t>
      </w:r>
      <w:r w:rsidRPr="002974A3">
        <w:rPr>
          <w:lang w:eastAsia="fr-FR" w:bidi="fr-FR"/>
        </w:rPr>
        <w:t>seurs en sciences sociales. L’initiative même de créer en 1967 parallèlement à l’APUM un sy</w:t>
      </w:r>
      <w:r w:rsidRPr="002974A3">
        <w:rPr>
          <w:lang w:eastAsia="fr-FR" w:bidi="fr-FR"/>
        </w:rPr>
        <w:t>n</w:t>
      </w:r>
      <w:r w:rsidRPr="002974A3">
        <w:rPr>
          <w:lang w:eastAsia="fr-FR" w:bidi="fr-FR"/>
        </w:rPr>
        <w:t>dicat de professeurs (SPUM) vient d’ailleurs de professeurs en scie</w:t>
      </w:r>
      <w:r w:rsidRPr="002974A3">
        <w:rPr>
          <w:lang w:eastAsia="fr-FR" w:bidi="fr-FR"/>
        </w:rPr>
        <w:t>n</w:t>
      </w:r>
      <w:r w:rsidRPr="002974A3">
        <w:rPr>
          <w:lang w:eastAsia="fr-FR" w:bidi="fr-FR"/>
        </w:rPr>
        <w:t>ces sociales, qui font alors partie d’un nouveau groupe (universitaire) de discussion, le Club Jacques Perrault et dont certains militent au sein du P.S.Q. Ce n’est que par la suite et plus particulièrement au cours des dernières années, que s’accroît la participation act</w:t>
      </w:r>
      <w:r w:rsidRPr="002974A3">
        <w:rPr>
          <w:lang w:eastAsia="fr-FR" w:bidi="fr-FR"/>
        </w:rPr>
        <w:t>i</w:t>
      </w:r>
      <w:r w:rsidRPr="002974A3">
        <w:rPr>
          <w:lang w:eastAsia="fr-FR" w:bidi="fr-FR"/>
        </w:rPr>
        <w:t>ve de scientifiques à la vie du syndicat : au cours des cinq dernières années (1971-1976), le poste de président est o</w:t>
      </w:r>
      <w:r w:rsidRPr="002974A3">
        <w:rPr>
          <w:lang w:eastAsia="fr-FR" w:bidi="fr-FR"/>
        </w:rPr>
        <w:t>c</w:t>
      </w:r>
      <w:r w:rsidRPr="002974A3">
        <w:rPr>
          <w:lang w:eastAsia="fr-FR" w:bidi="fr-FR"/>
        </w:rPr>
        <w:t>cupé à quatre reprises par un scientifique. Toutefois, au cours de ces années, l’on ne retrouve, sur l’exécutif du syndicat a</w:t>
      </w:r>
      <w:r w:rsidRPr="002974A3">
        <w:rPr>
          <w:lang w:eastAsia="fr-FR" w:bidi="fr-FR"/>
        </w:rPr>
        <w:t>u</w:t>
      </w:r>
      <w:r w:rsidRPr="002974A3">
        <w:rPr>
          <w:lang w:eastAsia="fr-FR" w:bidi="fr-FR"/>
        </w:rPr>
        <w:t>cun professeur des Facultés de Médecine, de Chirurgie denta</w:t>
      </w:r>
      <w:r w:rsidRPr="002974A3">
        <w:rPr>
          <w:lang w:eastAsia="fr-FR" w:bidi="fr-FR"/>
        </w:rPr>
        <w:t>i</w:t>
      </w:r>
      <w:r w:rsidRPr="002974A3">
        <w:rPr>
          <w:lang w:eastAsia="fr-FR" w:bidi="fr-FR"/>
        </w:rPr>
        <w:t>re ou de Droit : ces différents exécutifs sont composés princ</w:t>
      </w:r>
      <w:r w:rsidRPr="002974A3">
        <w:rPr>
          <w:lang w:eastAsia="fr-FR" w:bidi="fr-FR"/>
        </w:rPr>
        <w:t>i</w:t>
      </w:r>
      <w:r w:rsidRPr="002974A3">
        <w:rPr>
          <w:lang w:eastAsia="fr-FR" w:bidi="fr-FR"/>
        </w:rPr>
        <w:t xml:space="preserve">palement de professeurs en sciences sociales et humaines </w:t>
      </w:r>
      <w:r w:rsidRPr="002974A3">
        <w:t xml:space="preserve">(33%), </w:t>
      </w:r>
      <w:r w:rsidRPr="002974A3">
        <w:rPr>
          <w:lang w:eastAsia="fr-FR" w:bidi="fr-FR"/>
        </w:rPr>
        <w:t xml:space="preserve">de professeurs en sciences </w:t>
      </w:r>
      <w:r w:rsidRPr="002974A3">
        <w:t xml:space="preserve">(31%) </w:t>
      </w:r>
      <w:r w:rsidRPr="002974A3">
        <w:rPr>
          <w:lang w:eastAsia="fr-FR" w:bidi="fr-FR"/>
        </w:rPr>
        <w:t xml:space="preserve">et de professeurs en sciences de l’éducation </w:t>
      </w:r>
      <w:r w:rsidRPr="002974A3">
        <w:t>(23%).</w:t>
      </w:r>
    </w:p>
    <w:p w:rsidR="007A22E0" w:rsidRPr="002974A3" w:rsidRDefault="007A22E0" w:rsidP="007A22E0">
      <w:pPr>
        <w:spacing w:before="120" w:after="120"/>
        <w:jc w:val="both"/>
      </w:pPr>
      <w:r w:rsidRPr="002974A3">
        <w:rPr>
          <w:lang w:eastAsia="fr-FR" w:bidi="fr-FR"/>
        </w:rPr>
        <w:t>La tentation est grande de ne se référer, pour rendre com</w:t>
      </w:r>
      <w:r w:rsidRPr="002974A3">
        <w:rPr>
          <w:lang w:eastAsia="fr-FR" w:bidi="fr-FR"/>
        </w:rPr>
        <w:t>p</w:t>
      </w:r>
      <w:r w:rsidRPr="002974A3">
        <w:rPr>
          <w:lang w:eastAsia="fr-FR" w:bidi="fr-FR"/>
        </w:rPr>
        <w:t xml:space="preserve">te de la syndicalisation récente des professeurs de l’université, qu’à la seule modification interne de l’université. Ce n’est certes pas un hasard si l’idée d’un syndicat à l’Université de Montréal, qui avait été lancée dès </w:t>
      </w:r>
      <w:r w:rsidRPr="002974A3">
        <w:t xml:space="preserve">1947 </w:t>
      </w:r>
      <w:r w:rsidRPr="002974A3">
        <w:rPr>
          <w:lang w:eastAsia="fr-FR" w:bidi="fr-FR"/>
        </w:rPr>
        <w:t xml:space="preserve">par des professeurs de la Faculté des Sciences et qui en </w:t>
      </w:r>
      <w:r w:rsidRPr="002974A3">
        <w:t xml:space="preserve">1955 </w:t>
      </w:r>
      <w:r w:rsidRPr="002974A3">
        <w:rPr>
          <w:lang w:eastAsia="fr-FR" w:bidi="fr-FR"/>
        </w:rPr>
        <w:t xml:space="preserve">avait été abandonnée pour permettre la création de l’Association des Professeurs de l’Université de Montréal (APUM), est reprise douze ans plus tard, en </w:t>
      </w:r>
      <w:r w:rsidRPr="002974A3">
        <w:t xml:space="preserve">1967, </w:t>
      </w:r>
      <w:r w:rsidRPr="002974A3">
        <w:rPr>
          <w:lang w:eastAsia="fr-FR" w:bidi="fr-FR"/>
        </w:rPr>
        <w:t xml:space="preserve">c’est-à-dire au moment même où l’Université entreprend de modifier ses structures de gestion et d’administration par l’adoption d’une nouvelle charte : le </w:t>
      </w:r>
      <w:r w:rsidRPr="002974A3">
        <w:t>M</w:t>
      </w:r>
      <w:r w:rsidRPr="002974A3">
        <w:t>a</w:t>
      </w:r>
      <w:r w:rsidRPr="002974A3">
        <w:t>nifeste pour la fondation du syndicat des professeurs de l’Université de Montréal</w:t>
      </w:r>
      <w:r w:rsidRPr="002974A3">
        <w:rPr>
          <w:lang w:eastAsia="fr-FR" w:bidi="fr-FR"/>
        </w:rPr>
        <w:t xml:space="preserve"> constitue en effet d’abord une crit</w:t>
      </w:r>
      <w:r w:rsidRPr="002974A3">
        <w:rPr>
          <w:lang w:eastAsia="fr-FR" w:bidi="fr-FR"/>
        </w:rPr>
        <w:t>i</w:t>
      </w:r>
      <w:r w:rsidRPr="002974A3">
        <w:rPr>
          <w:lang w:eastAsia="fr-FR" w:bidi="fr-FR"/>
        </w:rPr>
        <w:t>que du projet de charte, qualifié « d’autoritaire et de non-démocratique », et aussi de la position de l’APUM, qui en appuyant un projet modifié de charte semble abandonner les trois principes de base (respect de la liberté académique, déconfessionnal</w:t>
      </w:r>
      <w:r w:rsidRPr="002974A3">
        <w:rPr>
          <w:lang w:eastAsia="fr-FR" w:bidi="fr-FR"/>
        </w:rPr>
        <w:t>i</w:t>
      </w:r>
      <w:r w:rsidRPr="002974A3">
        <w:rPr>
          <w:lang w:eastAsia="fr-FR" w:bidi="fr-FR"/>
        </w:rPr>
        <w:t>sation et démocratisation interne des structures) devant guider la r</w:t>
      </w:r>
      <w:r w:rsidRPr="002974A3">
        <w:rPr>
          <w:lang w:eastAsia="fr-FR" w:bidi="fr-FR"/>
        </w:rPr>
        <w:t>é</w:t>
      </w:r>
      <w:r w:rsidRPr="002974A3">
        <w:rPr>
          <w:lang w:eastAsia="fr-FR" w:bidi="fr-FR"/>
        </w:rPr>
        <w:t>forme de la charte. Et, se fondant sur une division au sein même des membres de l’APUM —</w:t>
      </w:r>
      <w:r>
        <w:rPr>
          <w:lang w:eastAsia="fr-FR" w:bidi="fr-FR"/>
        </w:rPr>
        <w:t xml:space="preserve"> </w:t>
      </w:r>
      <w:r w:rsidRPr="002974A3">
        <w:t xml:space="preserve">40% </w:t>
      </w:r>
      <w:r w:rsidRPr="002974A3">
        <w:rPr>
          <w:lang w:eastAsia="fr-FR" w:bidi="fr-FR"/>
        </w:rPr>
        <w:t>de ses membres sont favorables à la syndicalisa-</w:t>
      </w:r>
    </w:p>
    <w:p w:rsidR="007A22E0" w:rsidRDefault="007A22E0" w:rsidP="007A22E0">
      <w:pPr>
        <w:pStyle w:val="p"/>
        <w:rPr>
          <w:lang w:eastAsia="fr-FR" w:bidi="fr-FR"/>
        </w:rPr>
      </w:pPr>
      <w:r w:rsidRPr="002974A3">
        <w:br w:type="page"/>
      </w:r>
      <w:r>
        <w:rPr>
          <w:lang w:eastAsia="fr-FR" w:bidi="fr-FR"/>
        </w:rPr>
        <w:lastRenderedPageBreak/>
        <w:t>[32]</w:t>
      </w:r>
    </w:p>
    <w:p w:rsidR="007A22E0" w:rsidRPr="002974A3" w:rsidRDefault="007A22E0" w:rsidP="007A22E0">
      <w:pPr>
        <w:spacing w:before="120" w:after="120"/>
        <w:jc w:val="both"/>
      </w:pPr>
    </w:p>
    <w:p w:rsidR="007A22E0" w:rsidRPr="00001D0C" w:rsidRDefault="007A22E0" w:rsidP="007A22E0">
      <w:pPr>
        <w:pStyle w:val="figtitre"/>
      </w:pPr>
      <w:r w:rsidRPr="00001D0C">
        <w:t>Tableau 2</w:t>
      </w:r>
    </w:p>
    <w:p w:rsidR="007A22E0" w:rsidRPr="00031F90" w:rsidRDefault="007A22E0" w:rsidP="007A22E0">
      <w:pPr>
        <w:pStyle w:val="figst"/>
      </w:pPr>
      <w:r w:rsidRPr="00001D0C">
        <w:t>Pourcentage des professeurs de l’Université de Montréal</w:t>
      </w:r>
      <w:r w:rsidRPr="00001D0C">
        <w:br/>
        <w:t>membres du SGPUM, selon les disciplines (15 novembre 1972) </w:t>
      </w:r>
      <w:r>
        <w:rPr>
          <w:rStyle w:val="Appelnotedebasdep"/>
          <w:szCs w:val="24"/>
        </w:rPr>
        <w:footnoteReference w:id="3"/>
      </w:r>
    </w:p>
    <w:tbl>
      <w:tblPr>
        <w:tblOverlap w:val="never"/>
        <w:tblW w:w="0" w:type="auto"/>
        <w:tblInd w:w="-800" w:type="dxa"/>
        <w:tblLayout w:type="fixed"/>
        <w:tblCellMar>
          <w:left w:w="10" w:type="dxa"/>
          <w:right w:w="10" w:type="dxa"/>
        </w:tblCellMar>
        <w:tblLook w:val="0000" w:firstRow="0" w:lastRow="0" w:firstColumn="0" w:lastColumn="0" w:noHBand="0" w:noVBand="0"/>
      </w:tblPr>
      <w:tblGrid>
        <w:gridCol w:w="3230"/>
        <w:gridCol w:w="1833"/>
        <w:gridCol w:w="1833"/>
        <w:gridCol w:w="1834"/>
      </w:tblGrid>
      <w:tr w:rsidR="007A22E0" w:rsidRPr="00031F90">
        <w:tblPrEx>
          <w:tblCellMar>
            <w:top w:w="0" w:type="dxa"/>
            <w:bottom w:w="0" w:type="dxa"/>
          </w:tblCellMar>
        </w:tblPrEx>
        <w:tc>
          <w:tcPr>
            <w:tcW w:w="3230" w:type="dxa"/>
            <w:tcBorders>
              <w:top w:val="single" w:sz="4" w:space="0" w:color="auto"/>
            </w:tcBorders>
            <w:shd w:val="clear" w:color="auto" w:fill="EEECE1"/>
            <w:vAlign w:val="bottom"/>
          </w:tcPr>
          <w:p w:rsidR="007A22E0" w:rsidRPr="00031F90" w:rsidRDefault="007A22E0" w:rsidP="007A22E0">
            <w:pPr>
              <w:spacing w:before="120" w:after="120"/>
              <w:ind w:left="90" w:right="70" w:firstLine="0"/>
              <w:jc w:val="both"/>
              <w:rPr>
                <w:sz w:val="24"/>
              </w:rPr>
            </w:pPr>
            <w:r w:rsidRPr="00031F90">
              <w:rPr>
                <w:sz w:val="24"/>
              </w:rPr>
              <w:t>Disciplines</w:t>
            </w:r>
          </w:p>
        </w:tc>
        <w:tc>
          <w:tcPr>
            <w:tcW w:w="1833" w:type="dxa"/>
            <w:tcBorders>
              <w:top w:val="single" w:sz="4" w:space="0" w:color="auto"/>
            </w:tcBorders>
            <w:shd w:val="clear" w:color="auto" w:fill="EEECE1"/>
            <w:vAlign w:val="bottom"/>
          </w:tcPr>
          <w:p w:rsidR="007A22E0" w:rsidRPr="00031F90" w:rsidRDefault="007A22E0" w:rsidP="007A22E0">
            <w:pPr>
              <w:spacing w:before="120" w:after="120"/>
              <w:ind w:left="90" w:right="70" w:firstLine="0"/>
              <w:jc w:val="both"/>
              <w:rPr>
                <w:sz w:val="24"/>
              </w:rPr>
            </w:pPr>
            <w:r w:rsidRPr="00031F90">
              <w:rPr>
                <w:sz w:val="24"/>
              </w:rPr>
              <w:t>n. profe</w:t>
            </w:r>
            <w:r w:rsidRPr="00031F90">
              <w:rPr>
                <w:sz w:val="24"/>
              </w:rPr>
              <w:t>s</w:t>
            </w:r>
            <w:r w:rsidRPr="00031F90">
              <w:rPr>
                <w:sz w:val="24"/>
              </w:rPr>
              <w:t>seurs</w:t>
            </w:r>
          </w:p>
        </w:tc>
        <w:tc>
          <w:tcPr>
            <w:tcW w:w="1833" w:type="dxa"/>
            <w:tcBorders>
              <w:top w:val="single" w:sz="4" w:space="0" w:color="auto"/>
            </w:tcBorders>
            <w:shd w:val="clear" w:color="auto" w:fill="EEECE1"/>
            <w:vAlign w:val="bottom"/>
          </w:tcPr>
          <w:p w:rsidR="007A22E0" w:rsidRPr="00031F90" w:rsidRDefault="007A22E0" w:rsidP="007A22E0">
            <w:pPr>
              <w:spacing w:before="120" w:after="120"/>
              <w:ind w:left="90" w:right="70" w:firstLine="0"/>
              <w:jc w:val="both"/>
              <w:rPr>
                <w:sz w:val="24"/>
              </w:rPr>
            </w:pPr>
            <w:r w:rsidRPr="00031F90">
              <w:rPr>
                <w:sz w:val="24"/>
              </w:rPr>
              <w:t>n. synd</w:t>
            </w:r>
            <w:r w:rsidRPr="00031F90">
              <w:rPr>
                <w:sz w:val="24"/>
              </w:rPr>
              <w:t>i</w:t>
            </w:r>
            <w:r w:rsidRPr="00031F90">
              <w:rPr>
                <w:sz w:val="24"/>
              </w:rPr>
              <w:t>qués</w:t>
            </w:r>
          </w:p>
        </w:tc>
        <w:tc>
          <w:tcPr>
            <w:tcW w:w="1834" w:type="dxa"/>
            <w:tcBorders>
              <w:top w:val="single" w:sz="4" w:space="0" w:color="auto"/>
            </w:tcBorders>
            <w:shd w:val="clear" w:color="auto" w:fill="EEECE1"/>
            <w:vAlign w:val="bottom"/>
          </w:tcPr>
          <w:p w:rsidR="007A22E0" w:rsidRPr="00031F90" w:rsidRDefault="007A22E0" w:rsidP="007A22E0">
            <w:pPr>
              <w:spacing w:before="120" w:after="120"/>
              <w:ind w:left="90" w:right="70" w:firstLine="0"/>
              <w:jc w:val="both"/>
              <w:rPr>
                <w:sz w:val="24"/>
              </w:rPr>
            </w:pPr>
            <w:r w:rsidRPr="00031F90">
              <w:rPr>
                <w:sz w:val="24"/>
              </w:rPr>
              <w:t>% synd</w:t>
            </w:r>
            <w:r w:rsidRPr="00031F90">
              <w:rPr>
                <w:sz w:val="24"/>
              </w:rPr>
              <w:t>i</w:t>
            </w:r>
            <w:r w:rsidRPr="00031F90">
              <w:rPr>
                <w:sz w:val="24"/>
              </w:rPr>
              <w:t>qués</w:t>
            </w:r>
          </w:p>
        </w:tc>
      </w:tr>
      <w:tr w:rsidR="007A22E0" w:rsidRPr="00031F90">
        <w:tblPrEx>
          <w:tblCellMar>
            <w:top w:w="0" w:type="dxa"/>
            <w:bottom w:w="0" w:type="dxa"/>
          </w:tblCellMar>
        </w:tblPrEx>
        <w:tc>
          <w:tcPr>
            <w:tcW w:w="3230" w:type="dxa"/>
            <w:tcBorders>
              <w:top w:val="single" w:sz="4" w:space="0" w:color="auto"/>
            </w:tcBorders>
            <w:shd w:val="clear" w:color="auto" w:fill="FFFFFF"/>
            <w:vAlign w:val="bottom"/>
          </w:tcPr>
          <w:p w:rsidR="007A22E0" w:rsidRPr="00031F90" w:rsidRDefault="007A22E0" w:rsidP="007A22E0">
            <w:pPr>
              <w:spacing w:before="120"/>
              <w:ind w:left="86" w:right="72" w:firstLine="0"/>
              <w:jc w:val="both"/>
              <w:rPr>
                <w:sz w:val="24"/>
              </w:rPr>
            </w:pPr>
            <w:r w:rsidRPr="00031F90">
              <w:rPr>
                <w:sz w:val="24"/>
                <w:lang w:eastAsia="fr-FR" w:bidi="fr-FR"/>
              </w:rPr>
              <w:t>Sciences huma</w:t>
            </w:r>
            <w:r w:rsidRPr="00031F90">
              <w:rPr>
                <w:sz w:val="24"/>
                <w:lang w:eastAsia="fr-FR" w:bidi="fr-FR"/>
              </w:rPr>
              <w:t>i</w:t>
            </w:r>
            <w:r w:rsidRPr="00031F90">
              <w:rPr>
                <w:sz w:val="24"/>
                <w:lang w:eastAsia="fr-FR" w:bidi="fr-FR"/>
              </w:rPr>
              <w:t>nes et sociales</w:t>
            </w:r>
          </w:p>
        </w:tc>
        <w:tc>
          <w:tcPr>
            <w:tcW w:w="1833" w:type="dxa"/>
            <w:tcBorders>
              <w:top w:val="single" w:sz="4" w:space="0" w:color="auto"/>
            </w:tcBorders>
            <w:shd w:val="clear" w:color="auto" w:fill="FFFFFF"/>
            <w:vAlign w:val="center"/>
          </w:tcPr>
          <w:p w:rsidR="007A22E0" w:rsidRPr="00031F90" w:rsidRDefault="007A22E0" w:rsidP="007A22E0">
            <w:pPr>
              <w:tabs>
                <w:tab w:val="decimal" w:pos="1170"/>
              </w:tabs>
              <w:spacing w:before="120"/>
              <w:ind w:left="86" w:right="72" w:firstLine="0"/>
              <w:jc w:val="both"/>
              <w:rPr>
                <w:sz w:val="24"/>
              </w:rPr>
            </w:pPr>
            <w:r w:rsidRPr="00031F90">
              <w:rPr>
                <w:sz w:val="24"/>
                <w:lang w:eastAsia="fr-FR" w:bidi="fr-FR"/>
              </w:rPr>
              <w:t>396</w:t>
            </w:r>
          </w:p>
        </w:tc>
        <w:tc>
          <w:tcPr>
            <w:tcW w:w="1833" w:type="dxa"/>
            <w:tcBorders>
              <w:top w:val="single" w:sz="4" w:space="0" w:color="auto"/>
            </w:tcBorders>
            <w:shd w:val="clear" w:color="auto" w:fill="FFFFFF"/>
            <w:vAlign w:val="center"/>
          </w:tcPr>
          <w:p w:rsidR="007A22E0" w:rsidRPr="00031F90" w:rsidRDefault="007A22E0" w:rsidP="007A22E0">
            <w:pPr>
              <w:tabs>
                <w:tab w:val="decimal" w:pos="1170"/>
              </w:tabs>
              <w:spacing w:before="120"/>
              <w:ind w:left="86" w:right="72" w:firstLine="0"/>
              <w:jc w:val="both"/>
              <w:rPr>
                <w:sz w:val="24"/>
              </w:rPr>
            </w:pPr>
            <w:r w:rsidRPr="00031F90">
              <w:rPr>
                <w:sz w:val="24"/>
                <w:lang w:eastAsia="fr-FR" w:bidi="fr-FR"/>
              </w:rPr>
              <w:t>277</w:t>
            </w:r>
          </w:p>
        </w:tc>
        <w:tc>
          <w:tcPr>
            <w:tcW w:w="1834" w:type="dxa"/>
            <w:tcBorders>
              <w:top w:val="single" w:sz="4" w:space="0" w:color="auto"/>
            </w:tcBorders>
            <w:shd w:val="clear" w:color="auto" w:fill="FFFFFF"/>
            <w:vAlign w:val="center"/>
          </w:tcPr>
          <w:p w:rsidR="007A22E0" w:rsidRPr="00031F90" w:rsidRDefault="007A22E0" w:rsidP="007A22E0">
            <w:pPr>
              <w:tabs>
                <w:tab w:val="decimal" w:pos="1170"/>
              </w:tabs>
              <w:spacing w:before="120"/>
              <w:ind w:left="86" w:right="72" w:firstLine="0"/>
              <w:jc w:val="both"/>
              <w:rPr>
                <w:sz w:val="24"/>
              </w:rPr>
            </w:pPr>
            <w:r w:rsidRPr="00031F90">
              <w:rPr>
                <w:sz w:val="24"/>
                <w:lang w:eastAsia="fr-FR" w:bidi="fr-FR"/>
              </w:rPr>
              <w:t>70.0</w:t>
            </w:r>
          </w:p>
        </w:tc>
      </w:tr>
      <w:tr w:rsidR="007A22E0" w:rsidRPr="00031F90">
        <w:tblPrEx>
          <w:tblCellMar>
            <w:top w:w="0" w:type="dxa"/>
            <w:bottom w:w="0" w:type="dxa"/>
          </w:tblCellMar>
        </w:tblPrEx>
        <w:tc>
          <w:tcPr>
            <w:tcW w:w="3230" w:type="dxa"/>
            <w:shd w:val="clear" w:color="auto" w:fill="FFFFFF"/>
          </w:tcPr>
          <w:p w:rsidR="007A22E0" w:rsidRPr="00031F90" w:rsidRDefault="007A22E0" w:rsidP="007A22E0">
            <w:pPr>
              <w:ind w:left="350" w:right="70" w:firstLine="0"/>
              <w:jc w:val="both"/>
              <w:rPr>
                <w:sz w:val="24"/>
              </w:rPr>
            </w:pPr>
            <w:r w:rsidRPr="00031F90">
              <w:rPr>
                <w:sz w:val="24"/>
                <w:lang w:eastAsia="fr-FR" w:bidi="fr-FR"/>
              </w:rPr>
              <w:t>— histoire-lettres</w:t>
            </w:r>
          </w:p>
        </w:tc>
        <w:tc>
          <w:tcPr>
            <w:tcW w:w="1833" w:type="dxa"/>
            <w:shd w:val="clear" w:color="auto" w:fill="FFFFFF"/>
            <w:vAlign w:val="bottom"/>
          </w:tcPr>
          <w:p w:rsidR="007A22E0" w:rsidRPr="00031F90" w:rsidRDefault="007A22E0" w:rsidP="007A22E0">
            <w:pPr>
              <w:tabs>
                <w:tab w:val="decimal" w:pos="1170"/>
              </w:tabs>
              <w:ind w:left="90" w:right="70" w:firstLine="0"/>
              <w:jc w:val="both"/>
              <w:rPr>
                <w:sz w:val="24"/>
              </w:rPr>
            </w:pPr>
            <w:r w:rsidRPr="00031F90">
              <w:rPr>
                <w:sz w:val="24"/>
                <w:lang w:eastAsia="fr-FR" w:bidi="fr-FR"/>
              </w:rPr>
              <w:t>116</w:t>
            </w:r>
          </w:p>
        </w:tc>
        <w:tc>
          <w:tcPr>
            <w:tcW w:w="1833"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89</w:t>
            </w:r>
          </w:p>
        </w:tc>
        <w:tc>
          <w:tcPr>
            <w:tcW w:w="1834"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76.6</w:t>
            </w:r>
          </w:p>
        </w:tc>
      </w:tr>
      <w:tr w:rsidR="007A22E0" w:rsidRPr="00031F90">
        <w:tblPrEx>
          <w:tblCellMar>
            <w:top w:w="0" w:type="dxa"/>
            <w:bottom w:w="0" w:type="dxa"/>
          </w:tblCellMar>
        </w:tblPrEx>
        <w:tc>
          <w:tcPr>
            <w:tcW w:w="3230" w:type="dxa"/>
            <w:shd w:val="clear" w:color="auto" w:fill="FFFFFF"/>
          </w:tcPr>
          <w:p w:rsidR="007A22E0" w:rsidRPr="00031F90" w:rsidRDefault="007A22E0" w:rsidP="007A22E0">
            <w:pPr>
              <w:ind w:left="350" w:right="70" w:firstLine="0"/>
              <w:jc w:val="both"/>
              <w:rPr>
                <w:sz w:val="24"/>
              </w:rPr>
            </w:pPr>
            <w:r w:rsidRPr="00031F90">
              <w:rPr>
                <w:sz w:val="24"/>
                <w:lang w:eastAsia="fr-FR" w:bidi="fr-FR"/>
              </w:rPr>
              <w:t>— psyclio-philo</w:t>
            </w:r>
          </w:p>
        </w:tc>
        <w:tc>
          <w:tcPr>
            <w:tcW w:w="1833" w:type="dxa"/>
            <w:shd w:val="clear" w:color="auto" w:fill="FFFFFF"/>
            <w:vAlign w:val="bottom"/>
          </w:tcPr>
          <w:p w:rsidR="007A22E0" w:rsidRPr="00031F90" w:rsidRDefault="007A22E0" w:rsidP="007A22E0">
            <w:pPr>
              <w:tabs>
                <w:tab w:val="decimal" w:pos="1170"/>
              </w:tabs>
              <w:ind w:left="90" w:right="70" w:firstLine="0"/>
              <w:jc w:val="both"/>
              <w:rPr>
                <w:sz w:val="24"/>
              </w:rPr>
            </w:pPr>
            <w:r w:rsidRPr="00031F90">
              <w:rPr>
                <w:sz w:val="24"/>
                <w:lang w:eastAsia="fr-FR" w:bidi="fr-FR"/>
              </w:rPr>
              <w:t>111</w:t>
            </w:r>
          </w:p>
        </w:tc>
        <w:tc>
          <w:tcPr>
            <w:tcW w:w="1833"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57</w:t>
            </w:r>
          </w:p>
        </w:tc>
        <w:tc>
          <w:tcPr>
            <w:tcW w:w="1834"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52.2</w:t>
            </w:r>
          </w:p>
        </w:tc>
      </w:tr>
      <w:tr w:rsidR="007A22E0" w:rsidRPr="00031F90">
        <w:tblPrEx>
          <w:tblCellMar>
            <w:top w:w="0" w:type="dxa"/>
            <w:bottom w:w="0" w:type="dxa"/>
          </w:tblCellMar>
        </w:tblPrEx>
        <w:tc>
          <w:tcPr>
            <w:tcW w:w="3230" w:type="dxa"/>
            <w:shd w:val="clear" w:color="auto" w:fill="FFFFFF"/>
          </w:tcPr>
          <w:p w:rsidR="007A22E0" w:rsidRPr="00031F90" w:rsidRDefault="007A22E0" w:rsidP="007A22E0">
            <w:pPr>
              <w:ind w:left="350" w:right="70" w:firstLine="0"/>
              <w:jc w:val="both"/>
              <w:rPr>
                <w:sz w:val="24"/>
              </w:rPr>
            </w:pPr>
            <w:r w:rsidRPr="00031F90">
              <w:rPr>
                <w:sz w:val="24"/>
                <w:lang w:eastAsia="fr-FR" w:bidi="fr-FR"/>
              </w:rPr>
              <w:t>— sciences soci</w:t>
            </w:r>
            <w:r w:rsidRPr="00031F90">
              <w:rPr>
                <w:sz w:val="24"/>
                <w:lang w:eastAsia="fr-FR" w:bidi="fr-FR"/>
              </w:rPr>
              <w:t>a</w:t>
            </w:r>
            <w:r w:rsidRPr="00031F90">
              <w:rPr>
                <w:sz w:val="24"/>
                <w:lang w:eastAsia="fr-FR" w:bidi="fr-FR"/>
              </w:rPr>
              <w:t>les</w:t>
            </w:r>
          </w:p>
        </w:tc>
        <w:tc>
          <w:tcPr>
            <w:tcW w:w="1833"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134</w:t>
            </w:r>
          </w:p>
        </w:tc>
        <w:tc>
          <w:tcPr>
            <w:tcW w:w="1833" w:type="dxa"/>
            <w:shd w:val="clear" w:color="auto" w:fill="FFFFFF"/>
            <w:vAlign w:val="bottom"/>
          </w:tcPr>
          <w:p w:rsidR="007A22E0" w:rsidRPr="00031F90" w:rsidRDefault="007A22E0" w:rsidP="007A22E0">
            <w:pPr>
              <w:tabs>
                <w:tab w:val="decimal" w:pos="1170"/>
              </w:tabs>
              <w:ind w:left="90" w:right="70" w:firstLine="0"/>
              <w:jc w:val="both"/>
              <w:rPr>
                <w:sz w:val="24"/>
              </w:rPr>
            </w:pPr>
            <w:r w:rsidRPr="00031F90">
              <w:rPr>
                <w:sz w:val="24"/>
                <w:lang w:eastAsia="fr-FR" w:bidi="fr-FR"/>
              </w:rPr>
              <w:t>102</w:t>
            </w:r>
          </w:p>
        </w:tc>
        <w:tc>
          <w:tcPr>
            <w:tcW w:w="1834"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75.2</w:t>
            </w:r>
          </w:p>
        </w:tc>
      </w:tr>
      <w:tr w:rsidR="007A22E0" w:rsidRPr="00031F90">
        <w:tblPrEx>
          <w:tblCellMar>
            <w:top w:w="0" w:type="dxa"/>
            <w:bottom w:w="0" w:type="dxa"/>
          </w:tblCellMar>
        </w:tblPrEx>
        <w:tc>
          <w:tcPr>
            <w:tcW w:w="3230" w:type="dxa"/>
            <w:shd w:val="clear" w:color="auto" w:fill="FFFFFF"/>
          </w:tcPr>
          <w:p w:rsidR="007A22E0" w:rsidRPr="00031F90" w:rsidRDefault="007A22E0" w:rsidP="007A22E0">
            <w:pPr>
              <w:ind w:left="350" w:right="70" w:firstLine="0"/>
              <w:jc w:val="both"/>
              <w:rPr>
                <w:sz w:val="24"/>
              </w:rPr>
            </w:pPr>
            <w:r w:rsidRPr="00031F90">
              <w:rPr>
                <w:sz w:val="24"/>
                <w:lang w:eastAsia="fr-FR" w:bidi="fr-FR"/>
              </w:rPr>
              <w:t>— théologie</w:t>
            </w:r>
          </w:p>
        </w:tc>
        <w:tc>
          <w:tcPr>
            <w:tcW w:w="1833"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35</w:t>
            </w:r>
          </w:p>
        </w:tc>
        <w:tc>
          <w:tcPr>
            <w:tcW w:w="1833"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29</w:t>
            </w:r>
          </w:p>
        </w:tc>
        <w:tc>
          <w:tcPr>
            <w:tcW w:w="1834"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82.0</w:t>
            </w:r>
          </w:p>
        </w:tc>
      </w:tr>
      <w:tr w:rsidR="007A22E0" w:rsidRPr="00031F90">
        <w:tblPrEx>
          <w:tblCellMar>
            <w:top w:w="0" w:type="dxa"/>
            <w:bottom w:w="0" w:type="dxa"/>
          </w:tblCellMar>
        </w:tblPrEx>
        <w:tc>
          <w:tcPr>
            <w:tcW w:w="3230" w:type="dxa"/>
            <w:shd w:val="clear" w:color="auto" w:fill="FFFFFF"/>
            <w:vAlign w:val="center"/>
          </w:tcPr>
          <w:p w:rsidR="007A22E0" w:rsidRPr="00031F90" w:rsidRDefault="007A22E0" w:rsidP="007A22E0">
            <w:pPr>
              <w:ind w:left="90" w:right="70" w:firstLine="0"/>
              <w:jc w:val="both"/>
              <w:rPr>
                <w:sz w:val="24"/>
              </w:rPr>
            </w:pPr>
            <w:r w:rsidRPr="00031F90">
              <w:rPr>
                <w:sz w:val="24"/>
                <w:lang w:eastAsia="fr-FR" w:bidi="fr-FR"/>
              </w:rPr>
              <w:t>Sciences de l’éducation</w:t>
            </w:r>
          </w:p>
        </w:tc>
        <w:tc>
          <w:tcPr>
            <w:tcW w:w="1833"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68</w:t>
            </w:r>
          </w:p>
        </w:tc>
        <w:tc>
          <w:tcPr>
            <w:tcW w:w="1833"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52</w:t>
            </w:r>
          </w:p>
        </w:tc>
        <w:tc>
          <w:tcPr>
            <w:tcW w:w="1834"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76.5</w:t>
            </w:r>
          </w:p>
        </w:tc>
      </w:tr>
      <w:tr w:rsidR="007A22E0" w:rsidRPr="00031F90">
        <w:tblPrEx>
          <w:tblCellMar>
            <w:top w:w="0" w:type="dxa"/>
            <w:bottom w:w="0" w:type="dxa"/>
          </w:tblCellMar>
        </w:tblPrEx>
        <w:tc>
          <w:tcPr>
            <w:tcW w:w="3230" w:type="dxa"/>
            <w:shd w:val="clear" w:color="auto" w:fill="FFFFFF"/>
            <w:vAlign w:val="center"/>
          </w:tcPr>
          <w:p w:rsidR="007A22E0" w:rsidRPr="00031F90" w:rsidRDefault="007A22E0" w:rsidP="007A22E0">
            <w:pPr>
              <w:ind w:left="90" w:right="70" w:firstLine="0"/>
              <w:jc w:val="both"/>
              <w:rPr>
                <w:sz w:val="24"/>
              </w:rPr>
            </w:pPr>
            <w:r w:rsidRPr="00031F90">
              <w:rPr>
                <w:sz w:val="24"/>
                <w:lang w:eastAsia="fr-FR" w:bidi="fr-FR"/>
              </w:rPr>
              <w:t>Sciences</w:t>
            </w:r>
          </w:p>
        </w:tc>
        <w:tc>
          <w:tcPr>
            <w:tcW w:w="1833"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147</w:t>
            </w:r>
          </w:p>
        </w:tc>
        <w:tc>
          <w:tcPr>
            <w:tcW w:w="1833"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68</w:t>
            </w:r>
          </w:p>
        </w:tc>
        <w:tc>
          <w:tcPr>
            <w:tcW w:w="1834"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48.0</w:t>
            </w:r>
          </w:p>
        </w:tc>
      </w:tr>
      <w:tr w:rsidR="007A22E0" w:rsidRPr="00031F90">
        <w:tblPrEx>
          <w:tblCellMar>
            <w:top w:w="0" w:type="dxa"/>
            <w:bottom w:w="0" w:type="dxa"/>
          </w:tblCellMar>
        </w:tblPrEx>
        <w:tc>
          <w:tcPr>
            <w:tcW w:w="3230" w:type="dxa"/>
            <w:shd w:val="clear" w:color="auto" w:fill="FFFFFF"/>
          </w:tcPr>
          <w:p w:rsidR="007A22E0" w:rsidRPr="00031F90" w:rsidRDefault="007A22E0" w:rsidP="007A22E0">
            <w:pPr>
              <w:ind w:left="90" w:right="70" w:firstLine="0"/>
              <w:jc w:val="both"/>
              <w:rPr>
                <w:sz w:val="24"/>
              </w:rPr>
            </w:pPr>
            <w:r w:rsidRPr="00031F90">
              <w:rPr>
                <w:sz w:val="24"/>
                <w:lang w:eastAsia="fr-FR" w:bidi="fr-FR"/>
              </w:rPr>
              <w:t>Sciences de la santé</w:t>
            </w:r>
          </w:p>
        </w:tc>
        <w:tc>
          <w:tcPr>
            <w:tcW w:w="1833"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430</w:t>
            </w:r>
          </w:p>
        </w:tc>
        <w:tc>
          <w:tcPr>
            <w:tcW w:w="1833"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52</w:t>
            </w:r>
          </w:p>
        </w:tc>
        <w:tc>
          <w:tcPr>
            <w:tcW w:w="1834" w:type="dxa"/>
            <w:shd w:val="clear" w:color="auto" w:fill="FFFFFF"/>
          </w:tcPr>
          <w:p w:rsidR="007A22E0" w:rsidRPr="00031F90" w:rsidRDefault="007A22E0" w:rsidP="007A22E0">
            <w:pPr>
              <w:tabs>
                <w:tab w:val="decimal" w:pos="1170"/>
              </w:tabs>
              <w:ind w:left="90" w:right="70" w:firstLine="0"/>
              <w:jc w:val="both"/>
              <w:rPr>
                <w:sz w:val="24"/>
              </w:rPr>
            </w:pPr>
            <w:r w:rsidRPr="00031F90">
              <w:rPr>
                <w:sz w:val="24"/>
                <w:lang w:eastAsia="fr-FR" w:bidi="fr-FR"/>
              </w:rPr>
              <w:t>10.9</w:t>
            </w:r>
          </w:p>
        </w:tc>
      </w:tr>
      <w:tr w:rsidR="007A22E0" w:rsidRPr="00031F90">
        <w:tblPrEx>
          <w:tblCellMar>
            <w:top w:w="0" w:type="dxa"/>
            <w:bottom w:w="0" w:type="dxa"/>
          </w:tblCellMar>
        </w:tblPrEx>
        <w:tc>
          <w:tcPr>
            <w:tcW w:w="3230" w:type="dxa"/>
            <w:shd w:val="clear" w:color="auto" w:fill="FFFFFF"/>
            <w:vAlign w:val="center"/>
          </w:tcPr>
          <w:p w:rsidR="007A22E0" w:rsidRPr="00031F90" w:rsidRDefault="007A22E0" w:rsidP="007A22E0">
            <w:pPr>
              <w:ind w:left="90" w:right="70" w:firstLine="0"/>
              <w:jc w:val="both"/>
              <w:rPr>
                <w:sz w:val="24"/>
              </w:rPr>
            </w:pPr>
            <w:r w:rsidRPr="00031F90">
              <w:rPr>
                <w:sz w:val="24"/>
                <w:lang w:eastAsia="fr-FR" w:bidi="fr-FR"/>
              </w:rPr>
              <w:t>Droit</w:t>
            </w:r>
          </w:p>
        </w:tc>
        <w:tc>
          <w:tcPr>
            <w:tcW w:w="1833"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54</w:t>
            </w:r>
          </w:p>
        </w:tc>
        <w:tc>
          <w:tcPr>
            <w:tcW w:w="1833"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1</w:t>
            </w:r>
          </w:p>
        </w:tc>
        <w:tc>
          <w:tcPr>
            <w:tcW w:w="1834"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2.0</w:t>
            </w:r>
          </w:p>
        </w:tc>
      </w:tr>
      <w:tr w:rsidR="007A22E0" w:rsidRPr="00031F90">
        <w:tblPrEx>
          <w:tblCellMar>
            <w:top w:w="0" w:type="dxa"/>
            <w:bottom w:w="0" w:type="dxa"/>
          </w:tblCellMar>
        </w:tblPrEx>
        <w:tc>
          <w:tcPr>
            <w:tcW w:w="3230" w:type="dxa"/>
            <w:shd w:val="clear" w:color="auto" w:fill="FFFFFF"/>
            <w:vAlign w:val="center"/>
          </w:tcPr>
          <w:p w:rsidR="007A22E0" w:rsidRPr="00031F90" w:rsidRDefault="007A22E0" w:rsidP="007A22E0">
            <w:pPr>
              <w:ind w:left="90" w:right="70" w:firstLine="0"/>
              <w:jc w:val="both"/>
              <w:rPr>
                <w:sz w:val="24"/>
              </w:rPr>
            </w:pPr>
            <w:r w:rsidRPr="00031F90">
              <w:rPr>
                <w:sz w:val="24"/>
                <w:lang w:eastAsia="fr-FR" w:bidi="fr-FR"/>
              </w:rPr>
              <w:t>Aménagement — a</w:t>
            </w:r>
            <w:r w:rsidRPr="00031F90">
              <w:rPr>
                <w:sz w:val="24"/>
                <w:lang w:eastAsia="fr-FR" w:bidi="fr-FR"/>
              </w:rPr>
              <w:t>r</w:t>
            </w:r>
            <w:r w:rsidRPr="00031F90">
              <w:rPr>
                <w:sz w:val="24"/>
                <w:lang w:eastAsia="fr-FR" w:bidi="fr-FR"/>
              </w:rPr>
              <w:t>chitecture</w:t>
            </w:r>
          </w:p>
        </w:tc>
        <w:tc>
          <w:tcPr>
            <w:tcW w:w="1833"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55</w:t>
            </w:r>
          </w:p>
        </w:tc>
        <w:tc>
          <w:tcPr>
            <w:tcW w:w="1833"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42</w:t>
            </w:r>
          </w:p>
        </w:tc>
        <w:tc>
          <w:tcPr>
            <w:tcW w:w="1834" w:type="dxa"/>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76.4</w:t>
            </w:r>
          </w:p>
        </w:tc>
      </w:tr>
      <w:tr w:rsidR="007A22E0" w:rsidRPr="00031F90">
        <w:tblPrEx>
          <w:tblCellMar>
            <w:top w:w="0" w:type="dxa"/>
            <w:bottom w:w="0" w:type="dxa"/>
          </w:tblCellMar>
        </w:tblPrEx>
        <w:tc>
          <w:tcPr>
            <w:tcW w:w="3230" w:type="dxa"/>
            <w:tcBorders>
              <w:bottom w:val="single" w:sz="4" w:space="0" w:color="auto"/>
            </w:tcBorders>
            <w:shd w:val="clear" w:color="auto" w:fill="FFFFFF"/>
            <w:vAlign w:val="center"/>
          </w:tcPr>
          <w:p w:rsidR="007A22E0" w:rsidRPr="00031F90" w:rsidRDefault="007A22E0" w:rsidP="007A22E0">
            <w:pPr>
              <w:ind w:left="90" w:right="70" w:firstLine="0"/>
              <w:jc w:val="both"/>
              <w:rPr>
                <w:sz w:val="24"/>
              </w:rPr>
            </w:pPr>
            <w:r w:rsidRPr="00031F90">
              <w:rPr>
                <w:sz w:val="24"/>
                <w:lang w:eastAsia="fr-FR" w:bidi="fr-FR"/>
              </w:rPr>
              <w:t>Musique</w:t>
            </w:r>
          </w:p>
        </w:tc>
        <w:tc>
          <w:tcPr>
            <w:tcW w:w="1833" w:type="dxa"/>
            <w:tcBorders>
              <w:bottom w:val="single" w:sz="4" w:space="0" w:color="auto"/>
            </w:tcBorders>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21</w:t>
            </w:r>
          </w:p>
        </w:tc>
        <w:tc>
          <w:tcPr>
            <w:tcW w:w="1833" w:type="dxa"/>
            <w:tcBorders>
              <w:bottom w:val="single" w:sz="4" w:space="0" w:color="auto"/>
            </w:tcBorders>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8</w:t>
            </w:r>
          </w:p>
        </w:tc>
        <w:tc>
          <w:tcPr>
            <w:tcW w:w="1834" w:type="dxa"/>
            <w:tcBorders>
              <w:bottom w:val="single" w:sz="4" w:space="0" w:color="auto"/>
            </w:tcBorders>
            <w:shd w:val="clear" w:color="auto" w:fill="FFFFFF"/>
            <w:vAlign w:val="center"/>
          </w:tcPr>
          <w:p w:rsidR="007A22E0" w:rsidRPr="00031F90" w:rsidRDefault="007A22E0" w:rsidP="007A22E0">
            <w:pPr>
              <w:tabs>
                <w:tab w:val="decimal" w:pos="1170"/>
              </w:tabs>
              <w:ind w:left="90" w:right="70" w:firstLine="0"/>
              <w:jc w:val="both"/>
              <w:rPr>
                <w:sz w:val="24"/>
              </w:rPr>
            </w:pPr>
            <w:r w:rsidRPr="00031F90">
              <w:rPr>
                <w:sz w:val="24"/>
                <w:lang w:eastAsia="fr-FR" w:bidi="fr-FR"/>
              </w:rPr>
              <w:t>38.0</w:t>
            </w:r>
          </w:p>
        </w:tc>
      </w:tr>
      <w:tr w:rsidR="007A22E0" w:rsidRPr="00031F90">
        <w:tblPrEx>
          <w:tblCellMar>
            <w:top w:w="0" w:type="dxa"/>
            <w:bottom w:w="0" w:type="dxa"/>
          </w:tblCellMar>
        </w:tblPrEx>
        <w:tc>
          <w:tcPr>
            <w:tcW w:w="3230" w:type="dxa"/>
            <w:tcBorders>
              <w:top w:val="single" w:sz="4" w:space="0" w:color="auto"/>
              <w:bottom w:val="single" w:sz="12" w:space="0" w:color="auto"/>
            </w:tcBorders>
            <w:shd w:val="clear" w:color="auto" w:fill="FFFFFF"/>
            <w:vAlign w:val="center"/>
          </w:tcPr>
          <w:p w:rsidR="007A22E0" w:rsidRPr="00031F90" w:rsidRDefault="007A22E0" w:rsidP="007A22E0">
            <w:pPr>
              <w:spacing w:before="120" w:after="120"/>
              <w:ind w:left="90" w:right="70" w:firstLine="0"/>
              <w:jc w:val="both"/>
              <w:rPr>
                <w:sz w:val="24"/>
              </w:rPr>
            </w:pPr>
            <w:r w:rsidRPr="00031F90">
              <w:rPr>
                <w:sz w:val="24"/>
                <w:lang w:eastAsia="fr-FR" w:bidi="fr-FR"/>
              </w:rPr>
              <w:t>TOTAL</w:t>
            </w:r>
          </w:p>
        </w:tc>
        <w:tc>
          <w:tcPr>
            <w:tcW w:w="1833" w:type="dxa"/>
            <w:tcBorders>
              <w:top w:val="single" w:sz="4" w:space="0" w:color="auto"/>
              <w:bottom w:val="single" w:sz="12" w:space="0" w:color="auto"/>
            </w:tcBorders>
            <w:shd w:val="clear" w:color="auto" w:fill="FFFFFF"/>
            <w:vAlign w:val="center"/>
          </w:tcPr>
          <w:p w:rsidR="007A22E0" w:rsidRPr="00031F90" w:rsidRDefault="007A22E0" w:rsidP="007A22E0">
            <w:pPr>
              <w:tabs>
                <w:tab w:val="decimal" w:pos="1170"/>
              </w:tabs>
              <w:spacing w:before="120" w:after="120"/>
              <w:ind w:left="90" w:right="70" w:firstLine="0"/>
              <w:jc w:val="both"/>
              <w:rPr>
                <w:sz w:val="24"/>
              </w:rPr>
            </w:pPr>
            <w:r w:rsidRPr="00031F90">
              <w:rPr>
                <w:sz w:val="24"/>
                <w:lang w:eastAsia="fr-FR" w:bidi="fr-FR"/>
              </w:rPr>
              <w:t>1171</w:t>
            </w:r>
          </w:p>
        </w:tc>
        <w:tc>
          <w:tcPr>
            <w:tcW w:w="1833" w:type="dxa"/>
            <w:tcBorders>
              <w:top w:val="single" w:sz="4" w:space="0" w:color="auto"/>
              <w:bottom w:val="single" w:sz="12" w:space="0" w:color="auto"/>
            </w:tcBorders>
            <w:shd w:val="clear" w:color="auto" w:fill="FFFFFF"/>
            <w:vAlign w:val="center"/>
          </w:tcPr>
          <w:p w:rsidR="007A22E0" w:rsidRPr="00031F90" w:rsidRDefault="007A22E0" w:rsidP="007A22E0">
            <w:pPr>
              <w:tabs>
                <w:tab w:val="decimal" w:pos="1170"/>
              </w:tabs>
              <w:spacing w:before="120" w:after="120"/>
              <w:ind w:left="90" w:right="70" w:firstLine="0"/>
              <w:jc w:val="both"/>
              <w:rPr>
                <w:sz w:val="24"/>
              </w:rPr>
            </w:pPr>
            <w:r w:rsidRPr="00031F90">
              <w:rPr>
                <w:sz w:val="24"/>
                <w:lang w:eastAsia="fr-FR" w:bidi="fr-FR"/>
              </w:rPr>
              <w:t>500</w:t>
            </w:r>
          </w:p>
        </w:tc>
        <w:tc>
          <w:tcPr>
            <w:tcW w:w="1834" w:type="dxa"/>
            <w:tcBorders>
              <w:top w:val="single" w:sz="4" w:space="0" w:color="auto"/>
              <w:bottom w:val="single" w:sz="12" w:space="0" w:color="auto"/>
            </w:tcBorders>
            <w:shd w:val="clear" w:color="auto" w:fill="FFFFFF"/>
            <w:vAlign w:val="center"/>
          </w:tcPr>
          <w:p w:rsidR="007A22E0" w:rsidRPr="00031F90" w:rsidRDefault="007A22E0" w:rsidP="007A22E0">
            <w:pPr>
              <w:tabs>
                <w:tab w:val="decimal" w:pos="1170"/>
              </w:tabs>
              <w:spacing w:before="120" w:after="120"/>
              <w:ind w:left="90" w:right="70" w:firstLine="0"/>
              <w:jc w:val="both"/>
              <w:rPr>
                <w:sz w:val="24"/>
              </w:rPr>
            </w:pPr>
            <w:r w:rsidRPr="00031F90">
              <w:rPr>
                <w:sz w:val="24"/>
                <w:lang w:eastAsia="fr-FR" w:bidi="fr-FR"/>
              </w:rPr>
              <w:t>43.3</w:t>
            </w:r>
          </w:p>
        </w:tc>
      </w:tr>
    </w:tbl>
    <w:p w:rsidR="007A22E0" w:rsidRDefault="007A22E0" w:rsidP="007A22E0">
      <w:pPr>
        <w:spacing w:before="120" w:after="120"/>
        <w:jc w:val="both"/>
        <w:rPr>
          <w:szCs w:val="2"/>
        </w:rPr>
      </w:pPr>
    </w:p>
    <w:p w:rsidR="007A22E0" w:rsidRPr="002974A3" w:rsidRDefault="007A22E0" w:rsidP="007A22E0">
      <w:pPr>
        <w:spacing w:before="120" w:after="120"/>
        <w:ind w:firstLine="0"/>
        <w:jc w:val="both"/>
      </w:pPr>
      <w:r w:rsidRPr="00031F90">
        <w:rPr>
          <w:lang w:eastAsia="fr-FR" w:bidi="fr-FR"/>
        </w:rPr>
        <w:t>tion immédiate</w:t>
      </w:r>
      <w:r>
        <w:rPr>
          <w:lang w:eastAsia="fr-FR" w:bidi="fr-FR"/>
        </w:rPr>
        <w:t> </w:t>
      </w:r>
      <w:r>
        <w:rPr>
          <w:rStyle w:val="Appelnotedebasdep"/>
          <w:lang w:eastAsia="fr-FR" w:bidi="fr-FR"/>
        </w:rPr>
        <w:footnoteReference w:id="4"/>
      </w:r>
      <w:r w:rsidRPr="00031F90">
        <w:rPr>
          <w:lang w:eastAsia="fr-FR" w:bidi="fr-FR"/>
        </w:rPr>
        <w:t xml:space="preserve"> —, quelques professeurs, principalement des scie</w:t>
      </w:r>
      <w:r w:rsidRPr="00031F90">
        <w:rPr>
          <w:lang w:eastAsia="fr-FR" w:bidi="fr-FR"/>
        </w:rPr>
        <w:t>n</w:t>
      </w:r>
      <w:r w:rsidRPr="00031F90">
        <w:rPr>
          <w:lang w:eastAsia="fr-FR" w:bidi="fr-FR"/>
        </w:rPr>
        <w:t>ces sociales, entreprennent le recrutement des collègues : les o</w:t>
      </w:r>
      <w:r w:rsidRPr="00031F90">
        <w:rPr>
          <w:lang w:eastAsia="fr-FR" w:bidi="fr-FR"/>
        </w:rPr>
        <w:t>b</w:t>
      </w:r>
      <w:r w:rsidRPr="00031F90">
        <w:rPr>
          <w:lang w:eastAsia="fr-FR" w:bidi="fr-FR"/>
        </w:rPr>
        <w:lastRenderedPageBreak/>
        <w:t>jectifs de la mise sur pied d’un syndicat sont alors de « rendre possible une m</w:t>
      </w:r>
      <w:r>
        <w:rPr>
          <w:lang w:eastAsia="fr-FR" w:bidi="fr-FR"/>
        </w:rPr>
        <w:t>eilleure action du corps profes</w:t>
      </w:r>
      <w:r w:rsidRPr="002974A3">
        <w:rPr>
          <w:lang w:eastAsia="fr-FR" w:bidi="fr-FR"/>
        </w:rPr>
        <w:t>soral</w:t>
      </w:r>
      <w:r>
        <w:rPr>
          <w:szCs w:val="2"/>
        </w:rPr>
        <w:t xml:space="preserve"> </w:t>
      </w:r>
      <w:r>
        <w:rPr>
          <w:lang w:eastAsia="fr-FR" w:bidi="fr-FR"/>
        </w:rPr>
        <w:t>[33]</w:t>
      </w:r>
      <w:r w:rsidRPr="002974A3">
        <w:rPr>
          <w:lang w:eastAsia="fr-FR" w:bidi="fr-FR"/>
        </w:rPr>
        <w:t xml:space="preserve"> sur l’avenir de l’Université, de faciliter la rationalis</w:t>
      </w:r>
      <w:r w:rsidRPr="002974A3">
        <w:rPr>
          <w:lang w:eastAsia="fr-FR" w:bidi="fr-FR"/>
        </w:rPr>
        <w:t>a</w:t>
      </w:r>
      <w:r w:rsidRPr="002974A3">
        <w:rPr>
          <w:lang w:eastAsia="fr-FR" w:bidi="fr-FR"/>
        </w:rPr>
        <w:t>tion de l’administration de l’Université et de négocier les conditions d’emploi, de salaire et de travail » et ainsi de « relever la fonction scientifique de l’Université, d’en assurer la pe</w:t>
      </w:r>
      <w:r w:rsidRPr="002974A3">
        <w:rPr>
          <w:lang w:eastAsia="fr-FR" w:bidi="fr-FR"/>
        </w:rPr>
        <w:t>r</w:t>
      </w:r>
      <w:r w:rsidRPr="002974A3">
        <w:rPr>
          <w:lang w:eastAsia="fr-FR" w:bidi="fr-FR"/>
        </w:rPr>
        <w:t>manence et de recruter un personnel qualifié ». De plus, le processus de syndicalisation apparaît étroitement lié à la modification des mod</w:t>
      </w:r>
      <w:r w:rsidRPr="002974A3">
        <w:rPr>
          <w:lang w:eastAsia="fr-FR" w:bidi="fr-FR"/>
        </w:rPr>
        <w:t>a</w:t>
      </w:r>
      <w:r w:rsidRPr="002974A3">
        <w:rPr>
          <w:lang w:eastAsia="fr-FR" w:bidi="fr-FR"/>
        </w:rPr>
        <w:t>lités de participation des professeurs, qui exige une véritable concert</w:t>
      </w:r>
      <w:r w:rsidRPr="002974A3">
        <w:rPr>
          <w:lang w:eastAsia="fr-FR" w:bidi="fr-FR"/>
        </w:rPr>
        <w:t>a</w:t>
      </w:r>
      <w:r w:rsidRPr="002974A3">
        <w:rPr>
          <w:lang w:eastAsia="fr-FR" w:bidi="fr-FR"/>
        </w:rPr>
        <w:t>tion entre ces derniers, et au</w:t>
      </w:r>
      <w:r w:rsidRPr="002974A3">
        <w:rPr>
          <w:lang w:eastAsia="fr-FR" w:bidi="fr-FR"/>
        </w:rPr>
        <w:t>s</w:t>
      </w:r>
      <w:r w:rsidRPr="002974A3">
        <w:rPr>
          <w:lang w:eastAsia="fr-FR" w:bidi="fr-FR"/>
        </w:rPr>
        <w:t>si de la réorganisation de l’ensemble de l’université par la création d’une Faculté des Études supérieures et d’une i</w:t>
      </w:r>
      <w:r w:rsidRPr="002974A3">
        <w:rPr>
          <w:lang w:eastAsia="fr-FR" w:bidi="fr-FR"/>
        </w:rPr>
        <w:t>m</w:t>
      </w:r>
      <w:r w:rsidRPr="002974A3">
        <w:rPr>
          <w:lang w:eastAsia="fr-FR" w:bidi="fr-FR"/>
        </w:rPr>
        <w:t>mense Faculté des Arts et des Sciences, ce qui entraîne la dissolution des anciennes F</w:t>
      </w:r>
      <w:r w:rsidRPr="002974A3">
        <w:rPr>
          <w:lang w:eastAsia="fr-FR" w:bidi="fr-FR"/>
        </w:rPr>
        <w:t>a</w:t>
      </w:r>
      <w:r w:rsidRPr="002974A3">
        <w:rPr>
          <w:lang w:eastAsia="fr-FR" w:bidi="fr-FR"/>
        </w:rPr>
        <w:t>cultés des Lettres, des Sciences, des Sciences sociales et de Philosophie. Enfin, divers incidents font pre</w:t>
      </w:r>
      <w:r w:rsidRPr="002974A3">
        <w:rPr>
          <w:lang w:eastAsia="fr-FR" w:bidi="fr-FR"/>
        </w:rPr>
        <w:t>n</w:t>
      </w:r>
      <w:r w:rsidRPr="002974A3">
        <w:rPr>
          <w:lang w:eastAsia="fr-FR" w:bidi="fr-FR"/>
        </w:rPr>
        <w:t>dre conscience aux professeurs qu’ils se font imposer des décisions prises unilatéralement et que l’APUM ne peut les défendre efficac</w:t>
      </w:r>
      <w:r w:rsidRPr="002974A3">
        <w:rPr>
          <w:lang w:eastAsia="fr-FR" w:bidi="fr-FR"/>
        </w:rPr>
        <w:t>e</w:t>
      </w:r>
      <w:r w:rsidRPr="002974A3">
        <w:rPr>
          <w:lang w:eastAsia="fr-FR" w:bidi="fr-FR"/>
        </w:rPr>
        <w:t>ment : ainsi, en décembre 1970, à cause des restrictions de budget pour l’année académique en cours, imposées par le gouvernement, l’administration de l’université annonce sa décision de supprimer ce</w:t>
      </w:r>
      <w:r w:rsidRPr="002974A3">
        <w:rPr>
          <w:lang w:eastAsia="fr-FR" w:bidi="fr-FR"/>
        </w:rPr>
        <w:t>r</w:t>
      </w:r>
      <w:r w:rsidRPr="002974A3">
        <w:rPr>
          <w:lang w:eastAsia="fr-FR" w:bidi="fr-FR"/>
        </w:rPr>
        <w:t>tains postes d’enseignement. Militants au sein de l’APUM, les tenants de la syndicalisation réussissent à faire prendre conscience aux autres membres, que seul le regroupement au sein d’un synd</w:t>
      </w:r>
      <w:r w:rsidRPr="002974A3">
        <w:rPr>
          <w:lang w:eastAsia="fr-FR" w:bidi="fr-FR"/>
        </w:rPr>
        <w:t>i</w:t>
      </w:r>
      <w:r w:rsidRPr="002974A3">
        <w:rPr>
          <w:lang w:eastAsia="fr-FR" w:bidi="fr-FR"/>
        </w:rPr>
        <w:t>cat peut leur donner la force collective nécessaire pour faire face à de telles déc</w:t>
      </w:r>
      <w:r w:rsidRPr="002974A3">
        <w:rPr>
          <w:lang w:eastAsia="fr-FR" w:bidi="fr-FR"/>
        </w:rPr>
        <w:t>i</w:t>
      </w:r>
      <w:r w:rsidRPr="002974A3">
        <w:rPr>
          <w:lang w:eastAsia="fr-FR" w:bidi="fr-FR"/>
        </w:rPr>
        <w:t>sions de la part de l’administration et am</w:t>
      </w:r>
      <w:r w:rsidRPr="002974A3">
        <w:rPr>
          <w:lang w:eastAsia="fr-FR" w:bidi="fr-FR"/>
        </w:rPr>
        <w:t>è</w:t>
      </w:r>
      <w:r w:rsidRPr="002974A3">
        <w:rPr>
          <w:lang w:eastAsia="fr-FR" w:bidi="fr-FR"/>
        </w:rPr>
        <w:t>nent en décembre 1970FAPUM à « mettre en œuvre tous les moyens en vue de l’accréditation d’un syndicat des professeurs à l’Université de Mo</w:t>
      </w:r>
      <w:r w:rsidRPr="002974A3">
        <w:rPr>
          <w:lang w:eastAsia="fr-FR" w:bidi="fr-FR"/>
        </w:rPr>
        <w:t>n</w:t>
      </w:r>
      <w:r w:rsidRPr="002974A3">
        <w:rPr>
          <w:lang w:eastAsia="fr-FR" w:bidi="fr-FR"/>
        </w:rPr>
        <w:t>tréal ».</w:t>
      </w:r>
    </w:p>
    <w:p w:rsidR="007A22E0" w:rsidRPr="002974A3" w:rsidRDefault="007A22E0" w:rsidP="007A22E0">
      <w:pPr>
        <w:spacing w:before="120" w:after="120"/>
        <w:jc w:val="both"/>
      </w:pPr>
      <w:r w:rsidRPr="002974A3">
        <w:rPr>
          <w:lang w:eastAsia="fr-FR" w:bidi="fr-FR"/>
        </w:rPr>
        <w:t>Le SPUM devient alors graduellement le principal porte-parole des professeurs et intervient beaucoup plus énergiqu</w:t>
      </w:r>
      <w:r w:rsidRPr="002974A3">
        <w:rPr>
          <w:lang w:eastAsia="fr-FR" w:bidi="fr-FR"/>
        </w:rPr>
        <w:t>e</w:t>
      </w:r>
      <w:r w:rsidRPr="002974A3">
        <w:rPr>
          <w:lang w:eastAsia="fr-FR" w:bidi="fr-FR"/>
        </w:rPr>
        <w:t>ment dans les débats internes à l’université (critique du Ra</w:t>
      </w:r>
      <w:r w:rsidRPr="002974A3">
        <w:rPr>
          <w:lang w:eastAsia="fr-FR" w:bidi="fr-FR"/>
        </w:rPr>
        <w:t>p</w:t>
      </w:r>
      <w:r w:rsidRPr="002974A3">
        <w:rPr>
          <w:lang w:eastAsia="fr-FR" w:bidi="fr-FR"/>
        </w:rPr>
        <w:t>port Deschênes) et aussi dans les débats publics portant sur l’enseignement. Et, se transformant en syndicat général (SGPUM), celui-ci entreprend les longues procédures pour l’obtention d’un certificat d’accréditation et poursuit, durant ce</w:t>
      </w:r>
      <w:r w:rsidRPr="002974A3">
        <w:rPr>
          <w:lang w:eastAsia="fr-FR" w:bidi="fr-FR"/>
        </w:rPr>
        <w:t>t</w:t>
      </w:r>
      <w:r w:rsidRPr="002974A3">
        <w:rPr>
          <w:lang w:eastAsia="fr-FR" w:bidi="fr-FR"/>
        </w:rPr>
        <w:t>te période d’attente ou, disent certains, « d’hibernation », son travail de recrutement. Le non-renouvellement de la n</w:t>
      </w:r>
      <w:r w:rsidRPr="002974A3">
        <w:rPr>
          <w:lang w:eastAsia="fr-FR" w:bidi="fr-FR"/>
        </w:rPr>
        <w:t>o</w:t>
      </w:r>
      <w:r w:rsidRPr="002974A3">
        <w:rPr>
          <w:lang w:eastAsia="fr-FR" w:bidi="fr-FR"/>
        </w:rPr>
        <w:t>mination, en 1972, de deux professeurs adjoints du Départ</w:t>
      </w:r>
      <w:r w:rsidRPr="002974A3">
        <w:rPr>
          <w:lang w:eastAsia="fr-FR" w:bidi="fr-FR"/>
        </w:rPr>
        <w:t>e</w:t>
      </w:r>
      <w:r w:rsidRPr="002974A3">
        <w:rPr>
          <w:lang w:eastAsia="fr-FR" w:bidi="fr-FR"/>
        </w:rPr>
        <w:t xml:space="preserve">ment de biochimie de la Faculté de Médecine, Charles Prévost et Roger Morazain qui ont été </w:t>
      </w:r>
      <w:r w:rsidRPr="002974A3">
        <w:rPr>
          <w:lang w:eastAsia="fr-FR" w:bidi="fr-FR"/>
        </w:rPr>
        <w:lastRenderedPageBreak/>
        <w:t>très actifs au sein du syndicat, soulève une indignation générale, sensibilise les professeurs aux « rouages auto-critiques »</w:t>
      </w:r>
      <w:r>
        <w:rPr>
          <w:lang w:eastAsia="fr-FR" w:bidi="fr-FR"/>
        </w:rPr>
        <w:t> </w:t>
      </w:r>
      <w:r>
        <w:rPr>
          <w:rStyle w:val="Appelnotedebasdep"/>
          <w:lang w:eastAsia="fr-FR" w:bidi="fr-FR"/>
        </w:rPr>
        <w:footnoteReference w:id="5"/>
      </w:r>
      <w:r w:rsidRPr="002974A3">
        <w:rPr>
          <w:lang w:eastAsia="fr-FR" w:bidi="fr-FR"/>
        </w:rPr>
        <w:t xml:space="preserve"> de l’Université et convainc de nombreux « indécis » de la nécessité d’un syndicat.</w:t>
      </w:r>
    </w:p>
    <w:p w:rsidR="007A22E0" w:rsidRPr="002974A3" w:rsidRDefault="007A22E0" w:rsidP="007A22E0">
      <w:pPr>
        <w:spacing w:before="120" w:after="120"/>
        <w:jc w:val="both"/>
      </w:pPr>
      <w:r w:rsidRPr="002974A3">
        <w:rPr>
          <w:lang w:eastAsia="fr-FR" w:bidi="fr-FR"/>
        </w:rPr>
        <w:t>Toutefois, aussi importantes que soient ces modifications internes, ces décisions arbitraires de l’administration et d’autres événements qui marquent la vie universitaire</w:t>
      </w:r>
      <w:r>
        <w:rPr>
          <w:lang w:eastAsia="fr-FR" w:bidi="fr-FR"/>
        </w:rPr>
        <w:t> </w:t>
      </w:r>
      <w:r>
        <w:rPr>
          <w:rStyle w:val="Appelnotedebasdep"/>
          <w:lang w:eastAsia="fr-FR" w:bidi="fr-FR"/>
        </w:rPr>
        <w:footnoteReference w:id="6"/>
      </w:r>
      <w:r w:rsidRPr="002974A3">
        <w:rPr>
          <w:lang w:eastAsia="fr-FR" w:bidi="fr-FR"/>
        </w:rPr>
        <w:t>, ceux-ci ne constituent pas les seuls facteurs qui favorisent le</w:t>
      </w:r>
      <w:r>
        <w:rPr>
          <w:lang w:eastAsia="fr-FR" w:bidi="fr-FR"/>
        </w:rPr>
        <w:t xml:space="preserve"> [34] </w:t>
      </w:r>
      <w:r w:rsidRPr="002974A3">
        <w:rPr>
          <w:lang w:eastAsia="fr-FR" w:bidi="fr-FR"/>
        </w:rPr>
        <w:t>développement du syndicalisme chez les professeurs de l’Université de Montréal. Ceux-ci sont aussi confrontés, comme les autres professeurs universitaires, à une tran</w:t>
      </w:r>
      <w:r w:rsidRPr="002974A3">
        <w:rPr>
          <w:lang w:eastAsia="fr-FR" w:bidi="fr-FR"/>
        </w:rPr>
        <w:t>s</w:t>
      </w:r>
      <w:r w:rsidRPr="002974A3">
        <w:rPr>
          <w:lang w:eastAsia="fr-FR" w:bidi="fr-FR"/>
        </w:rPr>
        <w:t>form</w:t>
      </w:r>
      <w:r w:rsidRPr="002974A3">
        <w:rPr>
          <w:lang w:eastAsia="fr-FR" w:bidi="fr-FR"/>
        </w:rPr>
        <w:t>a</w:t>
      </w:r>
      <w:r w:rsidRPr="002974A3">
        <w:rPr>
          <w:lang w:eastAsia="fr-FR" w:bidi="fr-FR"/>
        </w:rPr>
        <w:t>tion qu’ils ont eux-mêmes souhaitée</w:t>
      </w:r>
      <w:r>
        <w:rPr>
          <w:lang w:eastAsia="fr-FR" w:bidi="fr-FR"/>
        </w:rPr>
        <w:t> </w:t>
      </w:r>
      <w:r>
        <w:rPr>
          <w:rStyle w:val="Appelnotedebasdep"/>
          <w:lang w:eastAsia="fr-FR" w:bidi="fr-FR"/>
        </w:rPr>
        <w:footnoteReference w:id="7"/>
      </w:r>
      <w:r w:rsidRPr="002974A3">
        <w:rPr>
          <w:lang w:eastAsia="fr-FR" w:bidi="fr-FR"/>
        </w:rPr>
        <w:t xml:space="preserve"> des rapports entre l’université et l’État : l’université, qui est maintenant largement d</w:t>
      </w:r>
      <w:r w:rsidRPr="002974A3">
        <w:rPr>
          <w:lang w:eastAsia="fr-FR" w:bidi="fr-FR"/>
        </w:rPr>
        <w:t>é</w:t>
      </w:r>
      <w:r w:rsidRPr="002974A3">
        <w:rPr>
          <w:lang w:eastAsia="fr-FR" w:bidi="fr-FR"/>
        </w:rPr>
        <w:t>pendante des subventions gouvernementales — son financement est aux 4/5 assumé par ces subventions —, doit se conformer de plus en plus étroitement aux normes édictées par le ministère de l’Éducation. Condition du dév</w:t>
      </w:r>
      <w:r w:rsidRPr="002974A3">
        <w:rPr>
          <w:lang w:eastAsia="fr-FR" w:bidi="fr-FR"/>
        </w:rPr>
        <w:t>e</w:t>
      </w:r>
      <w:r w:rsidRPr="002974A3">
        <w:rPr>
          <w:lang w:eastAsia="fr-FR" w:bidi="fr-FR"/>
        </w:rPr>
        <w:t xml:space="preserve">loppement de l’enseignement et de </w:t>
      </w:r>
      <w:proofErr w:type="gramStart"/>
      <w:r w:rsidRPr="002974A3">
        <w:rPr>
          <w:lang w:eastAsia="fr-FR" w:bidi="fr-FR"/>
        </w:rPr>
        <w:t>la recherche universitaires</w:t>
      </w:r>
      <w:proofErr w:type="gramEnd"/>
      <w:r w:rsidRPr="002974A3">
        <w:rPr>
          <w:lang w:eastAsia="fr-FR" w:bidi="fr-FR"/>
        </w:rPr>
        <w:t>, cette intervention croissante de l’État limite considér</w:t>
      </w:r>
      <w:r w:rsidRPr="002974A3">
        <w:rPr>
          <w:lang w:eastAsia="fr-FR" w:bidi="fr-FR"/>
        </w:rPr>
        <w:t>a</w:t>
      </w:r>
      <w:r w:rsidRPr="002974A3">
        <w:rPr>
          <w:lang w:eastAsia="fr-FR" w:bidi="fr-FR"/>
        </w:rPr>
        <w:t>blement l’autonomie de l’institution universitaire et modifie les cond</w:t>
      </w:r>
      <w:r w:rsidRPr="002974A3">
        <w:rPr>
          <w:lang w:eastAsia="fr-FR" w:bidi="fr-FR"/>
        </w:rPr>
        <w:t>i</w:t>
      </w:r>
      <w:r w:rsidRPr="002974A3">
        <w:rPr>
          <w:lang w:eastAsia="fr-FR" w:bidi="fr-FR"/>
        </w:rPr>
        <w:t>tions mêmes de travail des professeurs (charges de cours a</w:t>
      </w:r>
      <w:r w:rsidRPr="002974A3">
        <w:rPr>
          <w:lang w:eastAsia="fr-FR" w:bidi="fr-FR"/>
        </w:rPr>
        <w:t>c</w:t>
      </w:r>
      <w:r w:rsidRPr="002974A3">
        <w:rPr>
          <w:lang w:eastAsia="fr-FR" w:bidi="fr-FR"/>
        </w:rPr>
        <w:t>crues, nombre minimum d’étudiants par cours, etc.). Principalement préo</w:t>
      </w:r>
      <w:r w:rsidRPr="002974A3">
        <w:rPr>
          <w:lang w:eastAsia="fr-FR" w:bidi="fr-FR"/>
        </w:rPr>
        <w:t>c</w:t>
      </w:r>
      <w:r w:rsidRPr="002974A3">
        <w:rPr>
          <w:lang w:eastAsia="fr-FR" w:bidi="fr-FR"/>
        </w:rPr>
        <w:t>cupés par la prépar</w:t>
      </w:r>
      <w:r w:rsidRPr="002974A3">
        <w:rPr>
          <w:lang w:eastAsia="fr-FR" w:bidi="fr-FR"/>
        </w:rPr>
        <w:t>a</w:t>
      </w:r>
      <w:r w:rsidRPr="002974A3">
        <w:rPr>
          <w:lang w:eastAsia="fr-FR" w:bidi="fr-FR"/>
        </w:rPr>
        <w:t xml:space="preserve">tion de cours et l’organisation de recherche, ces professeurs se voient </w:t>
      </w:r>
      <w:r w:rsidRPr="002974A3">
        <w:rPr>
          <w:lang w:eastAsia="fr-FR" w:bidi="fr-FR"/>
        </w:rPr>
        <w:lastRenderedPageBreak/>
        <w:t>soudainement confrontés à une nouvelle réalité et une nouvelle façon de définir cette réalité : planification, concert</w:t>
      </w:r>
      <w:r w:rsidRPr="002974A3">
        <w:rPr>
          <w:lang w:eastAsia="fr-FR" w:bidi="fr-FR"/>
        </w:rPr>
        <w:t>a</w:t>
      </w:r>
      <w:r w:rsidRPr="002974A3">
        <w:rPr>
          <w:lang w:eastAsia="fr-FR" w:bidi="fr-FR"/>
        </w:rPr>
        <w:t>tion inter-universitaire, rentabilisation,</w:t>
      </w:r>
      <w:r>
        <w:rPr>
          <w:lang w:eastAsia="fr-FR" w:bidi="fr-FR"/>
        </w:rPr>
        <w:t xml:space="preserve"> </w:t>
      </w:r>
      <w:r w:rsidRPr="002974A3">
        <w:rPr>
          <w:lang w:eastAsia="fr-FR" w:bidi="fr-FR"/>
        </w:rPr>
        <w:t>etc.</w:t>
      </w:r>
    </w:p>
    <w:p w:rsidR="007A22E0" w:rsidRPr="002974A3" w:rsidRDefault="007A22E0" w:rsidP="007A22E0">
      <w:pPr>
        <w:spacing w:before="120" w:after="120"/>
        <w:jc w:val="both"/>
      </w:pPr>
      <w:r w:rsidRPr="002974A3">
        <w:rPr>
          <w:lang w:eastAsia="fr-FR" w:bidi="fr-FR"/>
        </w:rPr>
        <w:t>Cependant, même si la nécessité d’un syndicat n’apparaît plus à la majorité une illusion de « gauchiste », mais, au contraire, une évide</w:t>
      </w:r>
      <w:r w:rsidRPr="002974A3">
        <w:rPr>
          <w:lang w:eastAsia="fr-FR" w:bidi="fr-FR"/>
        </w:rPr>
        <w:t>n</w:t>
      </w:r>
      <w:r w:rsidRPr="002974A3">
        <w:rPr>
          <w:lang w:eastAsia="fr-FR" w:bidi="fr-FR"/>
        </w:rPr>
        <w:t>ce de « sens commun », la conception que se font les professeurs de l’action syndicale et l’utilisation qu’ils pensent en faire sont loin d’être identiques. La prope</w:t>
      </w:r>
      <w:r w:rsidRPr="002974A3">
        <w:rPr>
          <w:lang w:eastAsia="fr-FR" w:bidi="fr-FR"/>
        </w:rPr>
        <w:t>n</w:t>
      </w:r>
      <w:r w:rsidRPr="002974A3">
        <w:rPr>
          <w:lang w:eastAsia="fr-FR" w:bidi="fr-FR"/>
        </w:rPr>
        <w:t>sion à la syndicalisation a été, comme nous l’avons noté, très inégale au sein du corps professoral et ne s’explique pas seulement par la nature des différentes disciplines un</w:t>
      </w:r>
      <w:r w:rsidRPr="002974A3">
        <w:rPr>
          <w:lang w:eastAsia="fr-FR" w:bidi="fr-FR"/>
        </w:rPr>
        <w:t>i</w:t>
      </w:r>
      <w:r w:rsidRPr="002974A3">
        <w:rPr>
          <w:lang w:eastAsia="fr-FR" w:bidi="fr-FR"/>
        </w:rPr>
        <w:t>versitaires</w:t>
      </w:r>
      <w:r>
        <w:rPr>
          <w:lang w:eastAsia="fr-FR" w:bidi="fr-FR"/>
        </w:rPr>
        <w:t> </w:t>
      </w:r>
      <w:r>
        <w:rPr>
          <w:rStyle w:val="Appelnotedebasdep"/>
          <w:lang w:eastAsia="fr-FR" w:bidi="fr-FR"/>
        </w:rPr>
        <w:footnoteReference w:id="8"/>
      </w:r>
      <w:r w:rsidRPr="002974A3">
        <w:rPr>
          <w:lang w:eastAsia="fr-FR" w:bidi="fr-FR"/>
        </w:rPr>
        <w:t> : les professeurs qui adhèrent le plus rapidement au sy</w:t>
      </w:r>
      <w:r w:rsidRPr="002974A3">
        <w:rPr>
          <w:lang w:eastAsia="fr-FR" w:bidi="fr-FR"/>
        </w:rPr>
        <w:t>n</w:t>
      </w:r>
      <w:r w:rsidRPr="002974A3">
        <w:rPr>
          <w:lang w:eastAsia="fr-FR" w:bidi="fr-FR"/>
        </w:rPr>
        <w:t>dicat proviennent en effet de départements qui n’acquièrent que tard</w:t>
      </w:r>
      <w:r w:rsidRPr="002974A3">
        <w:rPr>
          <w:lang w:eastAsia="fr-FR" w:bidi="fr-FR"/>
        </w:rPr>
        <w:t>i</w:t>
      </w:r>
      <w:r w:rsidRPr="002974A3">
        <w:rPr>
          <w:lang w:eastAsia="fr-FR" w:bidi="fr-FR"/>
        </w:rPr>
        <w:t>vement les attributs de l’universitaire (âge profe</w:t>
      </w:r>
      <w:r w:rsidRPr="002974A3">
        <w:rPr>
          <w:lang w:eastAsia="fr-FR" w:bidi="fr-FR"/>
        </w:rPr>
        <w:t>s</w:t>
      </w:r>
      <w:r w:rsidRPr="002974A3">
        <w:rPr>
          <w:lang w:eastAsia="fr-FR" w:bidi="fr-FR"/>
        </w:rPr>
        <w:t>sionnel bas, faible pourcentage de professeurs agrégés et tit</w:t>
      </w:r>
      <w:r w:rsidRPr="002974A3">
        <w:rPr>
          <w:lang w:eastAsia="fr-FR" w:bidi="fr-FR"/>
        </w:rPr>
        <w:t>u</w:t>
      </w:r>
      <w:r w:rsidRPr="002974A3">
        <w:rPr>
          <w:lang w:eastAsia="fr-FR" w:bidi="fr-FR"/>
        </w:rPr>
        <w:t>laires, faible pourcentage de détenteurs du Ph.D., etc</w:t>
      </w:r>
      <w:r>
        <w:rPr>
          <w:lang w:eastAsia="fr-FR" w:bidi="fr-FR"/>
        </w:rPr>
        <w:t>.</w:t>
      </w:r>
      <w:r w:rsidRPr="002974A3">
        <w:rPr>
          <w:lang w:eastAsia="fr-FR" w:bidi="fr-FR"/>
        </w:rPr>
        <w:t>) et aussi qui, rarement reliés à une corpor</w:t>
      </w:r>
      <w:r w:rsidRPr="002974A3">
        <w:rPr>
          <w:lang w:eastAsia="fr-FR" w:bidi="fr-FR"/>
        </w:rPr>
        <w:t>a</w:t>
      </w:r>
      <w:r w:rsidRPr="002974A3">
        <w:rPr>
          <w:lang w:eastAsia="fr-FR" w:bidi="fr-FR"/>
        </w:rPr>
        <w:t>tion ou à une association professionnelles, s’identifient beaucoup plus au milieu disc</w:t>
      </w:r>
      <w:r w:rsidRPr="002974A3">
        <w:rPr>
          <w:lang w:eastAsia="fr-FR" w:bidi="fr-FR"/>
        </w:rPr>
        <w:t>i</w:t>
      </w:r>
      <w:r w:rsidRPr="002974A3">
        <w:rPr>
          <w:lang w:eastAsia="fr-FR" w:bidi="fr-FR"/>
        </w:rPr>
        <w:t>plinaire ou scientifique et au monde de l’enseignement. De plus, ces départements, qui sont ceux des sciences sociales, de sciences humaines et de sciences de l’éducation, offrent un enseign</w:t>
      </w:r>
      <w:r w:rsidRPr="002974A3">
        <w:rPr>
          <w:lang w:eastAsia="fr-FR" w:bidi="fr-FR"/>
        </w:rPr>
        <w:t>e</w:t>
      </w:r>
      <w:r w:rsidRPr="002974A3">
        <w:rPr>
          <w:lang w:eastAsia="fr-FR" w:bidi="fr-FR"/>
        </w:rPr>
        <w:t>ment à une population étudiante qui se différencie de celle des dépa</w:t>
      </w:r>
      <w:r w:rsidRPr="002974A3">
        <w:rPr>
          <w:lang w:eastAsia="fr-FR" w:bidi="fr-FR"/>
        </w:rPr>
        <w:t>r</w:t>
      </w:r>
      <w:r w:rsidRPr="002974A3">
        <w:rPr>
          <w:lang w:eastAsia="fr-FR" w:bidi="fr-FR"/>
        </w:rPr>
        <w:t>tements ou facultés « professionnelles » par son itinéraire social (pa</w:t>
      </w:r>
      <w:r w:rsidRPr="002974A3">
        <w:rPr>
          <w:lang w:eastAsia="fr-FR" w:bidi="fr-FR"/>
        </w:rPr>
        <w:t>s</w:t>
      </w:r>
      <w:r w:rsidRPr="002974A3">
        <w:rPr>
          <w:lang w:eastAsia="fr-FR" w:bidi="fr-FR"/>
        </w:rPr>
        <w:t>sé et futur) : ceux-ci constituent à la fois un « refuge » pour des ét</w:t>
      </w:r>
      <w:r w:rsidRPr="002974A3">
        <w:rPr>
          <w:lang w:eastAsia="fr-FR" w:bidi="fr-FR"/>
        </w:rPr>
        <w:t>u</w:t>
      </w:r>
      <w:r w:rsidRPr="002974A3">
        <w:rPr>
          <w:lang w:eastAsia="fr-FR" w:bidi="fr-FR"/>
        </w:rPr>
        <w:t>diants issus des classes moye</w:t>
      </w:r>
      <w:r w:rsidRPr="002974A3">
        <w:rPr>
          <w:lang w:eastAsia="fr-FR" w:bidi="fr-FR"/>
        </w:rPr>
        <w:t>n</w:t>
      </w:r>
      <w:r w:rsidRPr="002974A3">
        <w:rPr>
          <w:lang w:eastAsia="fr-FR" w:bidi="fr-FR"/>
        </w:rPr>
        <w:t>nes (ou petite bourgeoisie) et supérieure qui, en raison de leurs résultats scolaires plus faibles, se voient refuser l’accès à d’autres départements et une « voie de relégation » pour des étudiants qui, issus de classes populaires, paient ainsi le</w:t>
      </w:r>
      <w:r>
        <w:rPr>
          <w:lang w:eastAsia="fr-FR" w:bidi="fr-FR"/>
        </w:rPr>
        <w:t xml:space="preserve"> [35] </w:t>
      </w:r>
      <w:r w:rsidRPr="002974A3">
        <w:rPr>
          <w:lang w:eastAsia="fr-FR" w:bidi="fr-FR"/>
        </w:rPr>
        <w:t>« prix » de leur accès aux études supérieures</w:t>
      </w:r>
      <w:r>
        <w:rPr>
          <w:lang w:eastAsia="fr-FR" w:bidi="fr-FR"/>
        </w:rPr>
        <w:t> </w:t>
      </w:r>
      <w:r>
        <w:rPr>
          <w:rStyle w:val="Appelnotedebasdep"/>
          <w:lang w:eastAsia="fr-FR" w:bidi="fr-FR"/>
        </w:rPr>
        <w:footnoteReference w:id="9"/>
      </w:r>
      <w:r w:rsidRPr="002974A3">
        <w:rPr>
          <w:lang w:eastAsia="fr-FR" w:bidi="fr-FR"/>
        </w:rPr>
        <w:t>. Dans une certaine mesure, la propension à la syndicalisation (et au militantisme synd</w:t>
      </w:r>
      <w:r w:rsidRPr="002974A3">
        <w:rPr>
          <w:lang w:eastAsia="fr-FR" w:bidi="fr-FR"/>
        </w:rPr>
        <w:t>i</w:t>
      </w:r>
      <w:r w:rsidRPr="002974A3">
        <w:rPr>
          <w:lang w:eastAsia="fr-FR" w:bidi="fr-FR"/>
        </w:rPr>
        <w:t>cal) des membres d’un département apparaît inversement proportio</w:t>
      </w:r>
      <w:r w:rsidRPr="002974A3">
        <w:rPr>
          <w:lang w:eastAsia="fr-FR" w:bidi="fr-FR"/>
        </w:rPr>
        <w:t>n</w:t>
      </w:r>
      <w:r w:rsidRPr="002974A3">
        <w:rPr>
          <w:lang w:eastAsia="fr-FR" w:bidi="fr-FR"/>
        </w:rPr>
        <w:t>nelle à la position universitaire du département et aussi à la valeur s</w:t>
      </w:r>
      <w:r w:rsidRPr="002974A3">
        <w:rPr>
          <w:lang w:eastAsia="fr-FR" w:bidi="fr-FR"/>
        </w:rPr>
        <w:t>o</w:t>
      </w:r>
      <w:r w:rsidRPr="002974A3">
        <w:rPr>
          <w:lang w:eastAsia="fr-FR" w:bidi="fr-FR"/>
        </w:rPr>
        <w:t>ciale du diplôme qu’il déce</w:t>
      </w:r>
      <w:r w:rsidRPr="002974A3">
        <w:rPr>
          <w:lang w:eastAsia="fr-FR" w:bidi="fr-FR"/>
        </w:rPr>
        <w:t>r</w:t>
      </w:r>
      <w:r w:rsidRPr="002974A3">
        <w:rPr>
          <w:lang w:eastAsia="fr-FR" w:bidi="fr-FR"/>
        </w:rPr>
        <w:t>ne. D’ailleurs, ce sont habituellement les membres de tels départements qui trouvent dans leur exclusion sociale, les fo</w:t>
      </w:r>
      <w:r w:rsidRPr="002974A3">
        <w:rPr>
          <w:lang w:eastAsia="fr-FR" w:bidi="fr-FR"/>
        </w:rPr>
        <w:t>n</w:t>
      </w:r>
      <w:r w:rsidRPr="002974A3">
        <w:rPr>
          <w:lang w:eastAsia="fr-FR" w:bidi="fr-FR"/>
        </w:rPr>
        <w:t xml:space="preserve">dements d’une solidarité avec les classes dominées et qui adoptent des </w:t>
      </w:r>
      <w:r w:rsidRPr="002974A3">
        <w:rPr>
          <w:lang w:eastAsia="fr-FR" w:bidi="fr-FR"/>
        </w:rPr>
        <w:lastRenderedPageBreak/>
        <w:t>prises de positions syndicales et politiques plus radicales ou plus « progressives</w:t>
      </w:r>
      <w:proofErr w:type="gramStart"/>
      <w:r w:rsidRPr="002974A3">
        <w:rPr>
          <w:lang w:eastAsia="fr-FR" w:bidi="fr-FR"/>
        </w:rPr>
        <w:t> »...</w:t>
      </w:r>
      <w:proofErr w:type="gramEnd"/>
    </w:p>
    <w:p w:rsidR="007A22E0" w:rsidRPr="002974A3" w:rsidRDefault="007A22E0" w:rsidP="007A22E0">
      <w:pPr>
        <w:spacing w:before="120" w:after="120"/>
        <w:jc w:val="both"/>
      </w:pPr>
      <w:r w:rsidRPr="002974A3">
        <w:rPr>
          <w:lang w:eastAsia="fr-FR" w:bidi="fr-FR"/>
        </w:rPr>
        <w:t>Pendant la longue période de recrutement et de requêtes en accr</w:t>
      </w:r>
      <w:r w:rsidRPr="002974A3">
        <w:rPr>
          <w:lang w:eastAsia="fr-FR" w:bidi="fr-FR"/>
        </w:rPr>
        <w:t>é</w:t>
      </w:r>
      <w:r w:rsidRPr="002974A3">
        <w:rPr>
          <w:lang w:eastAsia="fr-FR" w:bidi="fr-FR"/>
        </w:rPr>
        <w:t>ditation, de nouvelles solidarités se sont certes créées. Mais très rap</w:t>
      </w:r>
      <w:r w:rsidRPr="002974A3">
        <w:rPr>
          <w:lang w:eastAsia="fr-FR" w:bidi="fr-FR"/>
        </w:rPr>
        <w:t>i</w:t>
      </w:r>
      <w:r w:rsidRPr="002974A3">
        <w:rPr>
          <w:lang w:eastAsia="fr-FR" w:bidi="fr-FR"/>
        </w:rPr>
        <w:t>dement, se sont aussi manifestées des différe</w:t>
      </w:r>
      <w:r w:rsidRPr="002974A3">
        <w:rPr>
          <w:lang w:eastAsia="fr-FR" w:bidi="fr-FR"/>
        </w:rPr>
        <w:t>n</w:t>
      </w:r>
      <w:r w:rsidRPr="002974A3">
        <w:rPr>
          <w:lang w:eastAsia="fr-FR" w:bidi="fr-FR"/>
        </w:rPr>
        <w:t>ces, voire même des conflits (d’opinion, d’options politiques, d’intérêts, etc.) au sein de la « communauté universitaire ». Lorsqu’en 1973, le SGPUM obtient une accréditation pour l’ensemble des professeurs de l’Université de Montréal, (à l’exclusion des professeurs de l’École des Hautes Études Commerciales et de l’École Polytechnique), il est contraint de reco</w:t>
      </w:r>
      <w:r w:rsidRPr="002974A3">
        <w:rPr>
          <w:lang w:eastAsia="fr-FR" w:bidi="fr-FR"/>
        </w:rPr>
        <w:t>n</w:t>
      </w:r>
      <w:r w:rsidRPr="002974A3">
        <w:rPr>
          <w:lang w:eastAsia="fr-FR" w:bidi="fr-FR"/>
        </w:rPr>
        <w:t>naître ces différences et ces oppositions : en plus d’être doté d’un conseil syndical et d’une assemblée générale, le Syndicat se compose de deux sections qui regroupent des d</w:t>
      </w:r>
      <w:r w:rsidRPr="002974A3">
        <w:rPr>
          <w:lang w:eastAsia="fr-FR" w:bidi="fr-FR"/>
        </w:rPr>
        <w:t>é</w:t>
      </w:r>
      <w:r w:rsidRPr="002974A3">
        <w:rPr>
          <w:lang w:eastAsia="fr-FR" w:bidi="fr-FR"/>
        </w:rPr>
        <w:t>partements différents — l’une regroupe les départements ou facultés « professionnelles » (droit, éd</w:t>
      </w:r>
      <w:r w:rsidRPr="002974A3">
        <w:rPr>
          <w:lang w:eastAsia="fr-FR" w:bidi="fr-FR"/>
        </w:rPr>
        <w:t>u</w:t>
      </w:r>
      <w:r w:rsidRPr="002974A3">
        <w:rPr>
          <w:lang w:eastAsia="fr-FR" w:bidi="fr-FR"/>
        </w:rPr>
        <w:t>cation, etc.) et l’autre, les départements des sciences, des sciences s</w:t>
      </w:r>
      <w:r w:rsidRPr="002974A3">
        <w:rPr>
          <w:lang w:eastAsia="fr-FR" w:bidi="fr-FR"/>
        </w:rPr>
        <w:t>o</w:t>
      </w:r>
      <w:r w:rsidRPr="002974A3">
        <w:rPr>
          <w:lang w:eastAsia="fr-FR" w:bidi="fr-FR"/>
        </w:rPr>
        <w:t>ciales et des sciences humaines —et qui ont toutes deux un droit de véto au moment de l’adoption de la convention collective.</w:t>
      </w:r>
    </w:p>
    <w:p w:rsidR="007A22E0" w:rsidRPr="002974A3" w:rsidRDefault="007A22E0" w:rsidP="007A22E0">
      <w:pPr>
        <w:spacing w:before="120" w:after="120"/>
        <w:jc w:val="both"/>
      </w:pPr>
      <w:r w:rsidRPr="002974A3">
        <w:rPr>
          <w:lang w:eastAsia="fr-FR" w:bidi="fr-FR"/>
        </w:rPr>
        <w:t>Même s’il constitue alors une condition sine qua non de la création d'un véritable syndicat de tous les professeurs de l’Université, ce m</w:t>
      </w:r>
      <w:r w:rsidRPr="002974A3">
        <w:rPr>
          <w:lang w:eastAsia="fr-FR" w:bidi="fr-FR"/>
        </w:rPr>
        <w:t>o</w:t>
      </w:r>
      <w:r w:rsidRPr="002974A3">
        <w:rPr>
          <w:lang w:eastAsia="fr-FR" w:bidi="fr-FR"/>
        </w:rPr>
        <w:t>de d’organisation et de fonctionnement n’en représente pas moins un facteur non seulement de div</w:t>
      </w:r>
      <w:r w:rsidRPr="002974A3">
        <w:rPr>
          <w:lang w:eastAsia="fr-FR" w:bidi="fr-FR"/>
        </w:rPr>
        <w:t>i</w:t>
      </w:r>
      <w:r w:rsidRPr="002974A3">
        <w:rPr>
          <w:lang w:eastAsia="fr-FR" w:bidi="fr-FR"/>
        </w:rPr>
        <w:t>sion, mais aussi d’inertie : la recherche de l’équilibre se tr</w:t>
      </w:r>
      <w:r w:rsidRPr="002974A3">
        <w:rPr>
          <w:lang w:eastAsia="fr-FR" w:bidi="fr-FR"/>
        </w:rPr>
        <w:t>a</w:t>
      </w:r>
      <w:r w:rsidRPr="002974A3">
        <w:rPr>
          <w:lang w:eastAsia="fr-FR" w:bidi="fr-FR"/>
        </w:rPr>
        <w:t>duit en effet par l’ambivalence (ou la difficulté de prendre position) et souvent par l’immobilisme. Certes, la mobilis</w:t>
      </w:r>
      <w:r w:rsidRPr="002974A3">
        <w:rPr>
          <w:lang w:eastAsia="fr-FR" w:bidi="fr-FR"/>
        </w:rPr>
        <w:t>a</w:t>
      </w:r>
      <w:r w:rsidRPr="002974A3">
        <w:rPr>
          <w:lang w:eastAsia="fr-FR" w:bidi="fr-FR"/>
        </w:rPr>
        <w:t>tion rapide des éléments « progressistes » du Syndicat permet de p</w:t>
      </w:r>
      <w:r w:rsidRPr="002974A3">
        <w:rPr>
          <w:lang w:eastAsia="fr-FR" w:bidi="fr-FR"/>
        </w:rPr>
        <w:t>o</w:t>
      </w:r>
      <w:r w:rsidRPr="002974A3">
        <w:rPr>
          <w:lang w:eastAsia="fr-FR" w:bidi="fr-FR"/>
        </w:rPr>
        <w:t>ser, à diverses occasions, quelques gestes politiques conséquents : pa</w:t>
      </w:r>
      <w:r w:rsidRPr="002974A3">
        <w:rPr>
          <w:lang w:eastAsia="fr-FR" w:bidi="fr-FR"/>
        </w:rPr>
        <w:t>r</w:t>
      </w:r>
      <w:r w:rsidRPr="002974A3">
        <w:rPr>
          <w:lang w:eastAsia="fr-FR" w:bidi="fr-FR"/>
        </w:rPr>
        <w:t>ticipation en 1968 à la Conférence hémi</w:t>
      </w:r>
      <w:r w:rsidRPr="002974A3">
        <w:rPr>
          <w:lang w:eastAsia="fr-FR" w:bidi="fr-FR"/>
        </w:rPr>
        <w:t>s</w:t>
      </w:r>
      <w:r w:rsidRPr="002974A3">
        <w:rPr>
          <w:lang w:eastAsia="fr-FR" w:bidi="fr-FR"/>
        </w:rPr>
        <w:t>phérique pour mettre fin à la guerre au Vietnam, intervention publique lors des événements d’octobre 1970, a</w:t>
      </w:r>
      <w:r>
        <w:rPr>
          <w:lang w:eastAsia="fr-FR" w:bidi="fr-FR"/>
        </w:rPr>
        <w:t>ppui financier aux membres du S</w:t>
      </w:r>
      <w:r w:rsidRPr="002974A3">
        <w:rPr>
          <w:lang w:eastAsia="fr-FR" w:bidi="fr-FR"/>
        </w:rPr>
        <w:t>PUL en grève (1976), etc. Mais, dès que les intérêts matériels et aussi professionnels des membres du Syndicat sont effectivement touchés, il y a une vér</w:t>
      </w:r>
      <w:r w:rsidRPr="002974A3">
        <w:rPr>
          <w:lang w:eastAsia="fr-FR" w:bidi="fr-FR"/>
        </w:rPr>
        <w:t>i</w:t>
      </w:r>
      <w:r w:rsidRPr="002974A3">
        <w:rPr>
          <w:lang w:eastAsia="fr-FR" w:bidi="fr-FR"/>
        </w:rPr>
        <w:t>table concertation des membres des départements « professionnels » et de leurs « alliés » des autres départ</w:t>
      </w:r>
      <w:r w:rsidRPr="002974A3">
        <w:rPr>
          <w:lang w:eastAsia="fr-FR" w:bidi="fr-FR"/>
        </w:rPr>
        <w:t>e</w:t>
      </w:r>
      <w:r w:rsidRPr="002974A3">
        <w:rPr>
          <w:lang w:eastAsia="fr-FR" w:bidi="fr-FR"/>
        </w:rPr>
        <w:t>ments : cette concertation s’est, entre autres, réalisée au moment de l’affiliation du SGPUM à la F</w:t>
      </w:r>
      <w:r w:rsidRPr="002974A3">
        <w:rPr>
          <w:lang w:eastAsia="fr-FR" w:bidi="fr-FR"/>
        </w:rPr>
        <w:t>A</w:t>
      </w:r>
      <w:r w:rsidRPr="002974A3">
        <w:rPr>
          <w:lang w:eastAsia="fr-FR" w:bidi="fr-FR"/>
        </w:rPr>
        <w:t>PUQ (février 1975)</w:t>
      </w:r>
      <w:r>
        <w:rPr>
          <w:lang w:eastAsia="fr-FR" w:bidi="fr-FR"/>
        </w:rPr>
        <w:t> </w:t>
      </w:r>
      <w:r>
        <w:rPr>
          <w:rStyle w:val="Appelnotedebasdep"/>
          <w:lang w:eastAsia="fr-FR" w:bidi="fr-FR"/>
        </w:rPr>
        <w:footnoteReference w:id="10"/>
      </w:r>
      <w:r w:rsidRPr="002974A3">
        <w:rPr>
          <w:lang w:eastAsia="fr-FR" w:bidi="fr-FR"/>
        </w:rPr>
        <w:t xml:space="preserve">, de l’élaboration et de </w:t>
      </w:r>
      <w:r w:rsidRPr="002974A3">
        <w:rPr>
          <w:lang w:eastAsia="fr-FR" w:bidi="fr-FR"/>
        </w:rPr>
        <w:lastRenderedPageBreak/>
        <w:t>l’adoption de la première</w:t>
      </w:r>
      <w:r>
        <w:rPr>
          <w:lang w:eastAsia="fr-FR" w:bidi="fr-FR"/>
        </w:rPr>
        <w:t xml:space="preserve"> [36] </w:t>
      </w:r>
      <w:r w:rsidRPr="002974A3">
        <w:rPr>
          <w:lang w:eastAsia="fr-FR" w:bidi="fr-FR"/>
        </w:rPr>
        <w:t>convention collective (1976)</w:t>
      </w:r>
      <w:r>
        <w:rPr>
          <w:lang w:eastAsia="fr-FR" w:bidi="fr-FR"/>
        </w:rPr>
        <w:t> </w:t>
      </w:r>
      <w:r>
        <w:rPr>
          <w:rStyle w:val="Appelnotedebasdep"/>
          <w:lang w:eastAsia="fr-FR" w:bidi="fr-FR"/>
        </w:rPr>
        <w:footnoteReference w:id="11"/>
      </w:r>
      <w:r w:rsidRPr="002974A3">
        <w:rPr>
          <w:lang w:eastAsia="fr-FR" w:bidi="fr-FR"/>
        </w:rPr>
        <w:t xml:space="preserve"> et du refus d’appuyer financièr</w:t>
      </w:r>
      <w:r w:rsidRPr="002974A3">
        <w:rPr>
          <w:lang w:eastAsia="fr-FR" w:bidi="fr-FR"/>
        </w:rPr>
        <w:t>e</w:t>
      </w:r>
      <w:r w:rsidRPr="002974A3">
        <w:rPr>
          <w:lang w:eastAsia="fr-FR" w:bidi="fr-FR"/>
        </w:rPr>
        <w:t>ment le SPUQ (novembre 1976)</w:t>
      </w:r>
      <w:r>
        <w:rPr>
          <w:lang w:eastAsia="fr-FR" w:bidi="fr-FR"/>
        </w:rPr>
        <w:t> </w:t>
      </w:r>
      <w:r>
        <w:rPr>
          <w:rStyle w:val="Appelnotedebasdep"/>
          <w:lang w:eastAsia="fr-FR" w:bidi="fr-FR"/>
        </w:rPr>
        <w:footnoteReference w:id="12"/>
      </w:r>
      <w:r w:rsidRPr="002974A3">
        <w:rPr>
          <w:lang w:eastAsia="fr-FR" w:bidi="fr-FR"/>
        </w:rPr>
        <w:t>.</w:t>
      </w:r>
    </w:p>
    <w:p w:rsidR="007A22E0" w:rsidRPr="002974A3" w:rsidRDefault="007A22E0" w:rsidP="007A22E0">
      <w:pPr>
        <w:spacing w:before="120" w:after="120"/>
        <w:jc w:val="both"/>
      </w:pPr>
      <w:r w:rsidRPr="002974A3">
        <w:rPr>
          <w:lang w:eastAsia="fr-FR" w:bidi="fr-FR"/>
        </w:rPr>
        <w:t>Manifestement, au cours de l’élaboration actuelle d’un nouveau projet de convention collective, ces diverses tensions sont toujours présentes : échelle unique des salaires/primes de secteurs ; mise sur pied d’un comité de griefs sur la procédure et le fond/recours à l’actuel comité des différends de l’Assemblée universitaire ; accroi</w:t>
      </w:r>
      <w:r w:rsidRPr="002974A3">
        <w:rPr>
          <w:lang w:eastAsia="fr-FR" w:bidi="fr-FR"/>
        </w:rPr>
        <w:t>s</w:t>
      </w:r>
      <w:r w:rsidRPr="002974A3">
        <w:rPr>
          <w:lang w:eastAsia="fr-FR" w:bidi="fr-FR"/>
        </w:rPr>
        <w:t>sement de la représentation des professeurs au sein des comités (bu</w:t>
      </w:r>
      <w:r w:rsidRPr="002974A3">
        <w:rPr>
          <w:lang w:eastAsia="fr-FR" w:bidi="fr-FR"/>
        </w:rPr>
        <w:t>d</w:t>
      </w:r>
      <w:r w:rsidRPr="002974A3">
        <w:rPr>
          <w:lang w:eastAsia="fr-FR" w:bidi="fr-FR"/>
        </w:rPr>
        <w:t>get, promotions) du Conseil de l’Université, de la Commission des études et des Conseils de faculté/maintien du statu quo ; etc. Il est e</w:t>
      </w:r>
      <w:r w:rsidRPr="002974A3">
        <w:rPr>
          <w:lang w:eastAsia="fr-FR" w:bidi="fr-FR"/>
        </w:rPr>
        <w:t>n</w:t>
      </w:r>
      <w:r w:rsidRPr="002974A3">
        <w:rPr>
          <w:lang w:eastAsia="fr-FR" w:bidi="fr-FR"/>
        </w:rPr>
        <w:t>core trop tôt</w:t>
      </w:r>
      <w:r>
        <w:rPr>
          <w:lang w:eastAsia="fr-FR" w:bidi="fr-FR"/>
        </w:rPr>
        <w:t> </w:t>
      </w:r>
      <w:r>
        <w:rPr>
          <w:rStyle w:val="Appelnotedebasdep"/>
          <w:lang w:eastAsia="fr-FR" w:bidi="fr-FR"/>
        </w:rPr>
        <w:footnoteReference w:id="13"/>
      </w:r>
      <w:r w:rsidRPr="002974A3">
        <w:rPr>
          <w:lang w:eastAsia="fr-FR" w:bidi="fr-FR"/>
        </w:rPr>
        <w:t xml:space="preserve"> pour déterminer quels seront les enjeux de la pr</w:t>
      </w:r>
      <w:r w:rsidRPr="002974A3">
        <w:rPr>
          <w:lang w:eastAsia="fr-FR" w:bidi="fr-FR"/>
        </w:rPr>
        <w:t>o</w:t>
      </w:r>
      <w:r w:rsidRPr="002974A3">
        <w:rPr>
          <w:lang w:eastAsia="fr-FR" w:bidi="fr-FR"/>
        </w:rPr>
        <w:t>chaine négociation, mais pour plusieurs professeurs, ceux-ci n’apparaissent pas différents des enjeux des négociations à l’Université Laval et à l’UQAM. Principalement en ce qui concerne la permanence, les m</w:t>
      </w:r>
      <w:r w:rsidRPr="002974A3">
        <w:rPr>
          <w:lang w:eastAsia="fr-FR" w:bidi="fr-FR"/>
        </w:rPr>
        <w:t>é</w:t>
      </w:r>
      <w:r w:rsidRPr="002974A3">
        <w:rPr>
          <w:lang w:eastAsia="fr-FR" w:bidi="fr-FR"/>
        </w:rPr>
        <w:t>canismes de recours (en cas de non-renouvellement), la démocratie universitaire et la l</w:t>
      </w:r>
      <w:r w:rsidRPr="002974A3">
        <w:rPr>
          <w:lang w:eastAsia="fr-FR" w:bidi="fr-FR"/>
        </w:rPr>
        <w:t>i</w:t>
      </w:r>
      <w:r w:rsidRPr="002974A3">
        <w:rPr>
          <w:lang w:eastAsia="fr-FR" w:bidi="fr-FR"/>
        </w:rPr>
        <w:t>berté académique, il y a de fortes chances, surtout si l’administration cherche à se conformer aux normes édictées par la CREPUQ, que se développe une véritable solidarité et que soit entr</w:t>
      </w:r>
      <w:r w:rsidRPr="002974A3">
        <w:rPr>
          <w:lang w:eastAsia="fr-FR" w:bidi="fr-FR"/>
        </w:rPr>
        <w:t>e</w:t>
      </w:r>
      <w:r w:rsidRPr="002974A3">
        <w:rPr>
          <w:lang w:eastAsia="fr-FR" w:bidi="fr-FR"/>
        </w:rPr>
        <w:t>prise une lutte syndicale...</w:t>
      </w:r>
    </w:p>
    <w:p w:rsidR="007A22E0" w:rsidRPr="002974A3" w:rsidRDefault="007A22E0" w:rsidP="007A22E0">
      <w:pPr>
        <w:spacing w:before="120" w:after="120"/>
        <w:jc w:val="both"/>
      </w:pPr>
      <w:r w:rsidRPr="002974A3">
        <w:rPr>
          <w:lang w:eastAsia="fr-FR" w:bidi="fr-FR"/>
        </w:rPr>
        <w:lastRenderedPageBreak/>
        <w:t>Mais, que ce soit au cours de la prochaine négociation qui risque d’être longue et difficile ou, fort probablement, à la suite de cette n</w:t>
      </w:r>
      <w:r w:rsidRPr="002974A3">
        <w:rPr>
          <w:lang w:eastAsia="fr-FR" w:bidi="fr-FR"/>
        </w:rPr>
        <w:t>é</w:t>
      </w:r>
      <w:r w:rsidRPr="002974A3">
        <w:rPr>
          <w:lang w:eastAsia="fr-FR" w:bidi="fr-FR"/>
        </w:rPr>
        <w:t>gociation, le SGPUM sera de nouveau confronté au double problème de son unification interne et de son affiliation externe. Handicapé à la fois par son mode de fonctionnement interne — l’existence de deux sections assure certes une décentralisation, mais elle favorise aussi la manifestation d’intérêts corporatifs —et par son affiliation à la F</w:t>
      </w:r>
      <w:r w:rsidRPr="002974A3">
        <w:rPr>
          <w:lang w:eastAsia="fr-FR" w:bidi="fr-FR"/>
        </w:rPr>
        <w:t>A</w:t>
      </w:r>
      <w:r w:rsidRPr="002974A3">
        <w:rPr>
          <w:lang w:eastAsia="fr-FR" w:bidi="fr-FR"/>
        </w:rPr>
        <w:t>PUQ, dont la seule fonction est d’offrir certains services à quelques syndicats et associations universitaires, le SGPUM n’est en effet pa</w:t>
      </w:r>
      <w:r w:rsidRPr="002974A3">
        <w:rPr>
          <w:lang w:eastAsia="fr-FR" w:bidi="fr-FR"/>
        </w:rPr>
        <w:t>r</w:t>
      </w:r>
      <w:r w:rsidRPr="002974A3">
        <w:rPr>
          <w:lang w:eastAsia="fr-FR" w:bidi="fr-FR"/>
        </w:rPr>
        <w:t>venu ni à se donner des orientations syndic</w:t>
      </w:r>
      <w:r w:rsidRPr="002974A3">
        <w:rPr>
          <w:lang w:eastAsia="fr-FR" w:bidi="fr-FR"/>
        </w:rPr>
        <w:t>a</w:t>
      </w:r>
      <w:r w:rsidRPr="002974A3">
        <w:rPr>
          <w:lang w:eastAsia="fr-FR" w:bidi="fr-FR"/>
        </w:rPr>
        <w:t>les et politiques globales et cohérentes</w:t>
      </w:r>
      <w:r>
        <w:rPr>
          <w:lang w:eastAsia="fr-FR" w:bidi="fr-FR"/>
        </w:rPr>
        <w:t> </w:t>
      </w:r>
      <w:r>
        <w:rPr>
          <w:rStyle w:val="Appelnotedebasdep"/>
          <w:lang w:eastAsia="fr-FR" w:bidi="fr-FR"/>
        </w:rPr>
        <w:footnoteReference w:id="14"/>
      </w:r>
      <w:r w:rsidRPr="002974A3">
        <w:rPr>
          <w:lang w:eastAsia="fr-FR" w:bidi="fr-FR"/>
        </w:rPr>
        <w:t>, ni à susciter un véritable militantisme qui lui perme</w:t>
      </w:r>
      <w:r w:rsidRPr="002974A3">
        <w:rPr>
          <w:lang w:eastAsia="fr-FR" w:bidi="fr-FR"/>
        </w:rPr>
        <w:t>t</w:t>
      </w:r>
      <w:r w:rsidRPr="002974A3">
        <w:rPr>
          <w:lang w:eastAsia="fr-FR" w:bidi="fr-FR"/>
        </w:rPr>
        <w:t>te d’entreprendre des luttes conséquentes au sein de l’Université et dans la société québ</w:t>
      </w:r>
      <w:r w:rsidRPr="002974A3">
        <w:rPr>
          <w:lang w:eastAsia="fr-FR" w:bidi="fr-FR"/>
        </w:rPr>
        <w:t>é</w:t>
      </w:r>
      <w:r w:rsidRPr="002974A3">
        <w:rPr>
          <w:lang w:eastAsia="fr-FR" w:bidi="fr-FR"/>
        </w:rPr>
        <w:t>coise. Le SGPUM a peut-être un passé, mais il n’a pas encore d’histoire... ou si peu.</w:t>
      </w:r>
    </w:p>
    <w:p w:rsidR="007A22E0" w:rsidRPr="00E07116" w:rsidRDefault="007A22E0">
      <w:pPr>
        <w:jc w:val="both"/>
      </w:pPr>
    </w:p>
    <w:p w:rsidR="007A22E0" w:rsidRPr="00E07116" w:rsidRDefault="007A22E0">
      <w:pPr>
        <w:pStyle w:val="suite"/>
      </w:pPr>
      <w:r w:rsidRPr="00E07116">
        <w:t>Fin du texte</w:t>
      </w:r>
    </w:p>
    <w:p w:rsidR="007A22E0" w:rsidRPr="00E07116" w:rsidRDefault="007A22E0">
      <w:pPr>
        <w:jc w:val="both"/>
      </w:pPr>
    </w:p>
    <w:sectPr w:rsidR="007A22E0" w:rsidRPr="00E07116" w:rsidSect="007A22E0">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91B" w:rsidRDefault="00F1291B">
      <w:r>
        <w:separator/>
      </w:r>
    </w:p>
  </w:endnote>
  <w:endnote w:type="continuationSeparator" w:id="0">
    <w:p w:rsidR="00F1291B" w:rsidRDefault="00F1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91B" w:rsidRDefault="00F1291B">
      <w:pPr>
        <w:ind w:firstLine="0"/>
      </w:pPr>
      <w:r>
        <w:separator/>
      </w:r>
    </w:p>
  </w:footnote>
  <w:footnote w:type="continuationSeparator" w:id="0">
    <w:p w:rsidR="00F1291B" w:rsidRDefault="00F1291B">
      <w:pPr>
        <w:ind w:firstLine="0"/>
      </w:pPr>
      <w:r>
        <w:separator/>
      </w:r>
    </w:p>
  </w:footnote>
  <w:footnote w:id="1">
    <w:p w:rsidR="007A22E0" w:rsidRDefault="007A22E0">
      <w:pPr>
        <w:pStyle w:val="Notedebasdepage"/>
      </w:pPr>
      <w:r>
        <w:rPr>
          <w:rStyle w:val="Appelnotedebasdep"/>
        </w:rPr>
        <w:t>*</w:t>
      </w:r>
      <w:r>
        <w:t xml:space="preserve"> </w:t>
      </w:r>
      <w:r>
        <w:tab/>
      </w:r>
      <w:r w:rsidRPr="002974A3">
        <w:rPr>
          <w:lang w:eastAsia="fr-FR" w:bidi="fr-FR"/>
        </w:rPr>
        <w:t>Je remercie Louis Maheu (Département de Sociologie, Université de Mo</w:t>
      </w:r>
      <w:r w:rsidRPr="002974A3">
        <w:rPr>
          <w:lang w:eastAsia="fr-FR" w:bidi="fr-FR"/>
        </w:rPr>
        <w:t>n</w:t>
      </w:r>
      <w:r w:rsidRPr="002974A3">
        <w:rPr>
          <w:lang w:eastAsia="fr-FR" w:bidi="fr-FR"/>
        </w:rPr>
        <w:t>tréal) et Lise Mongrain (SGPUM) qui ont mis à ma dispos</w:t>
      </w:r>
      <w:r w:rsidRPr="002974A3">
        <w:rPr>
          <w:lang w:eastAsia="fr-FR" w:bidi="fr-FR"/>
        </w:rPr>
        <w:t>i</w:t>
      </w:r>
      <w:r w:rsidRPr="002974A3">
        <w:rPr>
          <w:lang w:eastAsia="fr-FR" w:bidi="fr-FR"/>
        </w:rPr>
        <w:t>tion leurs « archives » du SPUM et du SGPUM (bulletins, mémoires, pr</w:t>
      </w:r>
      <w:r w:rsidRPr="002974A3">
        <w:rPr>
          <w:lang w:eastAsia="fr-FR" w:bidi="fr-FR"/>
        </w:rPr>
        <w:t>o</w:t>
      </w:r>
      <w:r w:rsidRPr="002974A3">
        <w:rPr>
          <w:lang w:eastAsia="fr-FR" w:bidi="fr-FR"/>
        </w:rPr>
        <w:t>cès-verbaux, etc.).</w:t>
      </w:r>
    </w:p>
  </w:footnote>
  <w:footnote w:id="2">
    <w:p w:rsidR="007A22E0" w:rsidRDefault="007A22E0">
      <w:pPr>
        <w:pStyle w:val="Notedebasdepage"/>
      </w:pPr>
      <w:r>
        <w:rPr>
          <w:rStyle w:val="Appelnotedebasdep"/>
        </w:rPr>
        <w:footnoteRef/>
      </w:r>
      <w:r>
        <w:t xml:space="preserve"> </w:t>
      </w:r>
      <w:r>
        <w:tab/>
      </w:r>
      <w:r w:rsidRPr="00981D53">
        <w:rPr>
          <w:i/>
          <w:iCs/>
          <w:color w:val="auto"/>
        </w:rPr>
        <w:t>Bulletin du SPUM,</w:t>
      </w:r>
      <w:r w:rsidRPr="00981D53">
        <w:rPr>
          <w:lang w:eastAsia="fr-FR" w:bidi="fr-FR"/>
        </w:rPr>
        <w:t xml:space="preserve"> vol 2, No 2, janvier 1968, p. 2.</w:t>
      </w:r>
    </w:p>
  </w:footnote>
  <w:footnote w:id="3">
    <w:p w:rsidR="007A22E0" w:rsidRDefault="007A22E0">
      <w:pPr>
        <w:pStyle w:val="Notedebasdepage"/>
      </w:pPr>
      <w:r>
        <w:rPr>
          <w:rStyle w:val="Appelnotedebasdep"/>
        </w:rPr>
        <w:footnoteRef/>
      </w:r>
      <w:r>
        <w:t xml:space="preserve"> </w:t>
      </w:r>
      <w:r>
        <w:tab/>
      </w:r>
      <w:r w:rsidRPr="00981D53">
        <w:rPr>
          <w:lang w:val="fr-FR" w:eastAsia="fr-FR" w:bidi="fr-FR"/>
        </w:rPr>
        <w:t xml:space="preserve">SGPUM. </w:t>
      </w:r>
      <w:r w:rsidRPr="00981D53">
        <w:rPr>
          <w:i/>
          <w:iCs/>
        </w:rPr>
        <w:t>Liste des membres du SGPUM 1972-1973.</w:t>
      </w:r>
      <w:r w:rsidRPr="00981D53">
        <w:rPr>
          <w:lang w:val="fr-FR" w:eastAsia="fr-FR" w:bidi="fr-FR"/>
        </w:rPr>
        <w:t xml:space="preserve"> 15 novembre 1972. Voir aussi </w:t>
      </w:r>
      <w:r w:rsidRPr="00981D53">
        <w:rPr>
          <w:i/>
          <w:iCs/>
        </w:rPr>
        <w:t>Rapport du comité de recrutement,</w:t>
      </w:r>
      <w:r w:rsidRPr="00981D53">
        <w:rPr>
          <w:lang w:val="fr-FR" w:eastAsia="fr-FR" w:bidi="fr-FR"/>
        </w:rPr>
        <w:t xml:space="preserve"> avril 1973. Dans ce doc</w:t>
      </w:r>
      <w:r w:rsidRPr="00981D53">
        <w:rPr>
          <w:lang w:val="fr-FR" w:eastAsia="fr-FR" w:bidi="fr-FR"/>
        </w:rPr>
        <w:t>u</w:t>
      </w:r>
      <w:r w:rsidRPr="00981D53">
        <w:rPr>
          <w:lang w:val="fr-FR" w:eastAsia="fr-FR" w:bidi="fr-FR"/>
        </w:rPr>
        <w:t>ment, on identifie 500 professeurs syndiqués sur un total de 1198 profe</w:t>
      </w:r>
      <w:r w:rsidRPr="00981D53">
        <w:rPr>
          <w:lang w:val="fr-FR" w:eastAsia="fr-FR" w:bidi="fr-FR"/>
        </w:rPr>
        <w:t>s</w:t>
      </w:r>
      <w:r w:rsidRPr="00981D53">
        <w:rPr>
          <w:lang w:val="fr-FR" w:eastAsia="fr-FR" w:bidi="fr-FR"/>
        </w:rPr>
        <w:t>seurs syndicables. Le pourcentage de professeurs syndiqués est alors de 42%.</w:t>
      </w:r>
    </w:p>
  </w:footnote>
  <w:footnote w:id="4">
    <w:p w:rsidR="007A22E0" w:rsidRDefault="007A22E0">
      <w:pPr>
        <w:pStyle w:val="Notedebasdepage"/>
      </w:pPr>
      <w:r>
        <w:rPr>
          <w:rStyle w:val="Appelnotedebasdep"/>
        </w:rPr>
        <w:footnoteRef/>
      </w:r>
      <w:r>
        <w:t xml:space="preserve"> </w:t>
      </w:r>
      <w:r>
        <w:tab/>
      </w:r>
      <w:r w:rsidRPr="00981D53">
        <w:rPr>
          <w:lang w:val="fr-FR" w:eastAsia="fr-FR" w:bidi="fr-FR"/>
        </w:rPr>
        <w:t>Au début de l’année 1967, l’APUM effectue une enquête auprès de tous les professeurs de l’Université de Montréal : plus de 460 professeurs y répo</w:t>
      </w:r>
      <w:r w:rsidRPr="00981D53">
        <w:rPr>
          <w:lang w:val="fr-FR" w:eastAsia="fr-FR" w:bidi="fr-FR"/>
        </w:rPr>
        <w:t>n</w:t>
      </w:r>
      <w:r w:rsidRPr="00981D53">
        <w:rPr>
          <w:lang w:val="fr-FR" w:eastAsia="fr-FR" w:bidi="fr-FR"/>
        </w:rPr>
        <w:t>dent. Le pourcentage de professeurs favorables à la syndicalisation est, pour chaque cat</w:t>
      </w:r>
      <w:r w:rsidRPr="00981D53">
        <w:rPr>
          <w:lang w:val="fr-FR" w:eastAsia="fr-FR" w:bidi="fr-FR"/>
        </w:rPr>
        <w:t>é</w:t>
      </w:r>
      <w:r w:rsidRPr="00981D53">
        <w:rPr>
          <w:lang w:val="fr-FR" w:eastAsia="fr-FR" w:bidi="fr-FR"/>
        </w:rPr>
        <w:t>gorie, le suivant : titulaires (10.5%), agrégés (10.8%), assistants (40.2%) et cha</w:t>
      </w:r>
      <w:r w:rsidRPr="00981D53">
        <w:rPr>
          <w:lang w:val="fr-FR" w:eastAsia="fr-FR" w:bidi="fr-FR"/>
        </w:rPr>
        <w:t>r</w:t>
      </w:r>
      <w:r w:rsidRPr="00981D53">
        <w:rPr>
          <w:lang w:val="fr-FR" w:eastAsia="fr-FR" w:bidi="fr-FR"/>
        </w:rPr>
        <w:t>gés d’enseignement (50.2%). Ce sont alors les professeurs membres de l’APUM qui manifestent une propension légèrement plus él</w:t>
      </w:r>
      <w:r w:rsidRPr="00981D53">
        <w:rPr>
          <w:lang w:val="fr-FR" w:eastAsia="fr-FR" w:bidi="fr-FR"/>
        </w:rPr>
        <w:t>e</w:t>
      </w:r>
      <w:r w:rsidRPr="00981D53">
        <w:rPr>
          <w:lang w:val="fr-FR" w:eastAsia="fr-FR" w:bidi="fr-FR"/>
        </w:rPr>
        <w:t>vée à la syndicalisation : alors que40% des membres de l’APUM sont fav</w:t>
      </w:r>
      <w:r w:rsidRPr="00981D53">
        <w:rPr>
          <w:lang w:val="fr-FR" w:eastAsia="fr-FR" w:bidi="fr-FR"/>
        </w:rPr>
        <w:t>o</w:t>
      </w:r>
      <w:r w:rsidRPr="00981D53">
        <w:rPr>
          <w:lang w:val="fr-FR" w:eastAsia="fr-FR" w:bidi="fr-FR"/>
        </w:rPr>
        <w:t>rables à la syndic</w:t>
      </w:r>
      <w:r w:rsidRPr="00981D53">
        <w:rPr>
          <w:lang w:val="fr-FR" w:eastAsia="fr-FR" w:bidi="fr-FR"/>
        </w:rPr>
        <w:t>a</w:t>
      </w:r>
      <w:r w:rsidRPr="00981D53">
        <w:rPr>
          <w:lang w:val="fr-FR" w:eastAsia="fr-FR" w:bidi="fr-FR"/>
        </w:rPr>
        <w:t>lisation immédiate, ce pourcentage tombe à 30% chez les non-membres. Toutefois, la tendance majoritaire (plus de 53%) des profe</w:t>
      </w:r>
      <w:r w:rsidRPr="00981D53">
        <w:rPr>
          <w:lang w:val="fr-FR" w:eastAsia="fr-FR" w:bidi="fr-FR"/>
        </w:rPr>
        <w:t>s</w:t>
      </w:r>
      <w:r w:rsidRPr="00981D53">
        <w:rPr>
          <w:lang w:val="fr-FR" w:eastAsia="fr-FR" w:bidi="fr-FR"/>
        </w:rPr>
        <w:t xml:space="preserve">seurs de l’université est de remettre la question de la syndicalisation à plus tard (décembre 1968), c’est-à-dire après l’obtention par l’Université de Montréal d’une nouvelle charte (Source : SMA Inc., </w:t>
      </w:r>
      <w:r w:rsidRPr="00981D53">
        <w:rPr>
          <w:i/>
          <w:iCs/>
        </w:rPr>
        <w:t>Résultats du référe</w:t>
      </w:r>
      <w:r w:rsidRPr="00981D53">
        <w:rPr>
          <w:i/>
          <w:iCs/>
        </w:rPr>
        <w:t>n</w:t>
      </w:r>
      <w:r w:rsidRPr="00981D53">
        <w:rPr>
          <w:i/>
          <w:iCs/>
        </w:rPr>
        <w:t>dum sur la syndicalisation des professeurs de l'Université de Montréal,</w:t>
      </w:r>
      <w:r w:rsidRPr="00981D53">
        <w:rPr>
          <w:lang w:val="fr-FR" w:eastAsia="fr-FR" w:bidi="fr-FR"/>
        </w:rPr>
        <w:t xml:space="preserve"> Montréal, 1967, 2 ph.).</w:t>
      </w:r>
    </w:p>
  </w:footnote>
  <w:footnote w:id="5">
    <w:p w:rsidR="007A22E0" w:rsidRDefault="007A22E0">
      <w:pPr>
        <w:pStyle w:val="Notedebasdepage"/>
      </w:pPr>
      <w:r>
        <w:rPr>
          <w:rStyle w:val="Appelnotedebasdep"/>
        </w:rPr>
        <w:footnoteRef/>
      </w:r>
      <w:r>
        <w:t xml:space="preserve"> </w:t>
      </w:r>
      <w:r>
        <w:tab/>
      </w:r>
      <w:r w:rsidRPr="00981D53">
        <w:rPr>
          <w:lang w:val="fr-FR" w:eastAsia="fr-FR" w:bidi="fr-FR"/>
        </w:rPr>
        <w:t xml:space="preserve">« L’autocratie à l’œuvre », </w:t>
      </w:r>
      <w:r w:rsidRPr="00981D53">
        <w:rPr>
          <w:i/>
          <w:iCs/>
        </w:rPr>
        <w:t>Aller-Retour,</w:t>
      </w:r>
      <w:r w:rsidRPr="00981D53">
        <w:rPr>
          <w:lang w:val="fr-FR" w:eastAsia="fr-FR" w:bidi="fr-FR"/>
        </w:rPr>
        <w:t xml:space="preserve"> Bulletin du SGPUM, vol. 1, No 4.</w:t>
      </w:r>
      <w:r w:rsidRPr="00732C36">
        <w:rPr>
          <w:lang w:val="fr-FR" w:eastAsia="fr-FR" w:bidi="fr-FR"/>
        </w:rPr>
        <w:t xml:space="preserve"> Cette décision du Conseil de la Faculté de Médecine dévoile le manque de consu</w:t>
      </w:r>
      <w:r w:rsidRPr="00732C36">
        <w:rPr>
          <w:lang w:val="fr-FR" w:eastAsia="fr-FR" w:bidi="fr-FR"/>
        </w:rPr>
        <w:t>l</w:t>
      </w:r>
      <w:r w:rsidRPr="00732C36">
        <w:rPr>
          <w:lang w:val="fr-FR" w:eastAsia="fr-FR" w:bidi="fr-FR"/>
        </w:rPr>
        <w:t>tation, la disparité des procédures entre les différentes facultés et l’absence de garanties claires dans les règles et dans les statuts.</w:t>
      </w:r>
    </w:p>
  </w:footnote>
  <w:footnote w:id="6">
    <w:p w:rsidR="007A22E0" w:rsidRDefault="007A22E0">
      <w:pPr>
        <w:pStyle w:val="Notedebasdepage"/>
      </w:pPr>
      <w:r>
        <w:rPr>
          <w:rStyle w:val="Appelnotedebasdep"/>
        </w:rPr>
        <w:footnoteRef/>
      </w:r>
      <w:r>
        <w:t xml:space="preserve"> </w:t>
      </w:r>
      <w:r>
        <w:tab/>
      </w:r>
      <w:r w:rsidRPr="00732C36">
        <w:rPr>
          <w:lang w:val="fr-FR" w:eastAsia="fr-FR" w:bidi="fr-FR"/>
        </w:rPr>
        <w:t>Parmi ces événements, on peut retenir la grève du pe</w:t>
      </w:r>
      <w:r w:rsidRPr="00732C36">
        <w:rPr>
          <w:lang w:val="fr-FR" w:eastAsia="fr-FR" w:bidi="fr-FR"/>
        </w:rPr>
        <w:t>r</w:t>
      </w:r>
      <w:r w:rsidRPr="00732C36">
        <w:rPr>
          <w:lang w:val="fr-FR" w:eastAsia="fr-FR" w:bidi="fr-FR"/>
        </w:rPr>
        <w:t>sonnel de soutien et aussi la contestation étudiante en 1968 et au cours des années subséquentes. Coincés entre des étudiants de plus en plus revendicatifs et d’une admini</w:t>
      </w:r>
      <w:r w:rsidRPr="00732C36">
        <w:rPr>
          <w:lang w:val="fr-FR" w:eastAsia="fr-FR" w:bidi="fr-FR"/>
        </w:rPr>
        <w:t>s</w:t>
      </w:r>
      <w:r w:rsidRPr="00732C36">
        <w:rPr>
          <w:lang w:val="fr-FR" w:eastAsia="fr-FR" w:bidi="fr-FR"/>
        </w:rPr>
        <w:t>tration de plus en plus intransigeante, les professeurs apparaissent alors rel</w:t>
      </w:r>
      <w:r w:rsidRPr="00732C36">
        <w:rPr>
          <w:lang w:val="fr-FR" w:eastAsia="fr-FR" w:bidi="fr-FR"/>
        </w:rPr>
        <w:t>a</w:t>
      </w:r>
      <w:r w:rsidRPr="00732C36">
        <w:rPr>
          <w:lang w:val="fr-FR" w:eastAsia="fr-FR" w:bidi="fr-FR"/>
        </w:rPr>
        <w:t>tivement i</w:t>
      </w:r>
      <w:r w:rsidRPr="00732C36">
        <w:rPr>
          <w:lang w:val="fr-FR" w:eastAsia="fr-FR" w:bidi="fr-FR"/>
        </w:rPr>
        <w:t>m</w:t>
      </w:r>
      <w:r w:rsidRPr="00732C36">
        <w:rPr>
          <w:lang w:val="fr-FR" w:eastAsia="fr-FR" w:bidi="fr-FR"/>
        </w:rPr>
        <w:t>puissants.</w:t>
      </w:r>
    </w:p>
  </w:footnote>
  <w:footnote w:id="7">
    <w:p w:rsidR="007A22E0" w:rsidRDefault="007A22E0">
      <w:pPr>
        <w:pStyle w:val="Notedebasdepage"/>
      </w:pPr>
      <w:r>
        <w:rPr>
          <w:rStyle w:val="Appelnotedebasdep"/>
        </w:rPr>
        <w:footnoteRef/>
      </w:r>
      <w:r>
        <w:t xml:space="preserve"> </w:t>
      </w:r>
      <w:r>
        <w:tab/>
      </w:r>
      <w:r w:rsidRPr="00732C36">
        <w:rPr>
          <w:lang w:val="fr-FR" w:eastAsia="fr-FR" w:bidi="fr-FR"/>
        </w:rPr>
        <w:t>En 1967, le SPUM participe avec d’autres syndicats ou associ</w:t>
      </w:r>
      <w:r w:rsidRPr="00732C36">
        <w:rPr>
          <w:lang w:val="fr-FR" w:eastAsia="fr-FR" w:bidi="fr-FR"/>
        </w:rPr>
        <w:t>a</w:t>
      </w:r>
      <w:r w:rsidRPr="00732C36">
        <w:rPr>
          <w:lang w:val="fr-FR" w:eastAsia="fr-FR" w:bidi="fr-FR"/>
        </w:rPr>
        <w:t>tions (C.S.N., F.T.Q., U.G.E.Q.,</w:t>
      </w:r>
      <w:r>
        <w:rPr>
          <w:lang w:val="fr-FR" w:eastAsia="fr-FR" w:bidi="fr-FR"/>
        </w:rPr>
        <w:t xml:space="preserve"> </w:t>
      </w:r>
      <w:r w:rsidRPr="00732C36">
        <w:rPr>
          <w:lang w:val="fr-FR" w:eastAsia="fr-FR" w:bidi="fr-FR"/>
        </w:rPr>
        <w:t>etc.) à l’élaboration d’un co</w:t>
      </w:r>
      <w:r w:rsidRPr="00732C36">
        <w:rPr>
          <w:lang w:val="fr-FR" w:eastAsia="fr-FR" w:bidi="fr-FR"/>
        </w:rPr>
        <w:t>m</w:t>
      </w:r>
      <w:r w:rsidRPr="00732C36">
        <w:rPr>
          <w:lang w:val="fr-FR" w:eastAsia="fr-FR" w:bidi="fr-FR"/>
        </w:rPr>
        <w:t xml:space="preserve">muniqué conjoint intitulé </w:t>
      </w:r>
      <w:r w:rsidRPr="00981D53">
        <w:rPr>
          <w:i/>
          <w:iCs/>
        </w:rPr>
        <w:t>La démocratisation de l’enseignement supérieur.</w:t>
      </w:r>
      <w:r w:rsidRPr="00981D53">
        <w:rPr>
          <w:lang w:val="fr-FR" w:eastAsia="fr-FR" w:bidi="fr-FR"/>
        </w:rPr>
        <w:t xml:space="preserve"> On peut y lire : « L’État doit</w:t>
      </w:r>
      <w:r w:rsidRPr="00732C36">
        <w:rPr>
          <w:lang w:val="fr-FR" w:eastAsia="fr-FR" w:bidi="fr-FR"/>
        </w:rPr>
        <w:t xml:space="preserve"> jouer un rôle prépondérant dans l’établissement et la mise en application d’un plan général de développement de l’enseignement supérieur et de la r</w:t>
      </w:r>
      <w:r w:rsidRPr="00732C36">
        <w:rPr>
          <w:lang w:val="fr-FR" w:eastAsia="fr-FR" w:bidi="fr-FR"/>
        </w:rPr>
        <w:t>e</w:t>
      </w:r>
      <w:r w:rsidRPr="00732C36">
        <w:rPr>
          <w:lang w:val="fr-FR" w:eastAsia="fr-FR" w:bidi="fr-FR"/>
        </w:rPr>
        <w:t>cherche. Représentant de la population et principal bailleur de fonds des universités, il ne peut plus se payer le luxe d’être étranger au développement des universités à l’heure où celles-ci se donnent un rôle social</w:t>
      </w:r>
      <w:r>
        <w:rPr>
          <w:lang w:val="fr-FR" w:eastAsia="fr-FR" w:bidi="fr-FR"/>
        </w:rPr>
        <w:t> »</w:t>
      </w:r>
      <w:r w:rsidRPr="00732C36">
        <w:rPr>
          <w:lang w:val="fr-FR" w:eastAsia="fr-FR" w:bidi="fr-FR"/>
        </w:rPr>
        <w:t>. Cette d</w:t>
      </w:r>
      <w:r w:rsidRPr="00732C36">
        <w:rPr>
          <w:lang w:val="fr-FR" w:eastAsia="fr-FR" w:bidi="fr-FR"/>
        </w:rPr>
        <w:t>é</w:t>
      </w:r>
      <w:r w:rsidRPr="00732C36">
        <w:rPr>
          <w:lang w:val="fr-FR" w:eastAsia="fr-FR" w:bidi="fr-FR"/>
        </w:rPr>
        <w:t>claration commune face à la loi-cadre de l’enseignement supérieur est ado</w:t>
      </w:r>
      <w:r w:rsidRPr="00732C36">
        <w:rPr>
          <w:lang w:val="fr-FR" w:eastAsia="fr-FR" w:bidi="fr-FR"/>
        </w:rPr>
        <w:t>p</w:t>
      </w:r>
      <w:r w:rsidRPr="00732C36">
        <w:rPr>
          <w:lang w:val="fr-FR" w:eastAsia="fr-FR" w:bidi="fr-FR"/>
        </w:rPr>
        <w:t>tée à l’unanimité par le SPUM lors de son assemblée générale du 7 mai 1968.</w:t>
      </w:r>
    </w:p>
  </w:footnote>
  <w:footnote w:id="8">
    <w:p w:rsidR="007A22E0" w:rsidRDefault="007A22E0">
      <w:pPr>
        <w:pStyle w:val="Notedebasdepage"/>
      </w:pPr>
      <w:r>
        <w:rPr>
          <w:rStyle w:val="Appelnotedebasdep"/>
        </w:rPr>
        <w:footnoteRef/>
      </w:r>
      <w:r>
        <w:t xml:space="preserve"> </w:t>
      </w:r>
      <w:r>
        <w:tab/>
      </w:r>
      <w:r w:rsidRPr="00732C36">
        <w:rPr>
          <w:lang w:val="fr-FR" w:eastAsia="fr-FR" w:bidi="fr-FR"/>
        </w:rPr>
        <w:t xml:space="preserve">Ladds, E.S., et Lipset, S.M., </w:t>
      </w:r>
      <w:r>
        <w:rPr>
          <w:lang w:val="fr-FR" w:eastAsia="fr-FR" w:bidi="fr-FR"/>
        </w:rPr>
        <w:t>« </w:t>
      </w:r>
      <w:r w:rsidRPr="00732C36">
        <w:rPr>
          <w:lang w:val="fr-FR" w:eastAsia="fr-FR" w:bidi="fr-FR"/>
        </w:rPr>
        <w:t>Politics of Academi</w:t>
      </w:r>
      <w:r>
        <w:rPr>
          <w:lang w:val="fr-FR" w:eastAsia="fr-FR" w:bidi="fr-FR"/>
        </w:rPr>
        <w:t>c</w:t>
      </w:r>
      <w:r w:rsidRPr="00732C36">
        <w:rPr>
          <w:lang w:val="fr-FR" w:eastAsia="fr-FR" w:bidi="fr-FR"/>
        </w:rPr>
        <w:t xml:space="preserve"> Natural Scie</w:t>
      </w:r>
      <w:r w:rsidRPr="00732C36">
        <w:rPr>
          <w:lang w:val="fr-FR" w:eastAsia="fr-FR" w:bidi="fr-FR"/>
        </w:rPr>
        <w:t>n</w:t>
      </w:r>
      <w:r>
        <w:rPr>
          <w:lang w:val="fr-FR" w:eastAsia="fr-FR" w:bidi="fr-FR"/>
        </w:rPr>
        <w:t xml:space="preserve">tists and </w:t>
      </w:r>
      <w:r w:rsidRPr="00981D53">
        <w:rPr>
          <w:lang w:val="fr-FR" w:eastAsia="fr-FR" w:bidi="fr-FR"/>
        </w:rPr>
        <w:t xml:space="preserve">Engineers ». </w:t>
      </w:r>
      <w:r w:rsidRPr="00981D53">
        <w:rPr>
          <w:i/>
          <w:iCs/>
        </w:rPr>
        <w:t>Science.</w:t>
      </w:r>
      <w:r w:rsidRPr="00981D53">
        <w:rPr>
          <w:lang w:val="fr-FR" w:eastAsia="fr-FR" w:bidi="fr-FR"/>
        </w:rPr>
        <w:t xml:space="preserve"> June 1972, vol 1976, pp. 1091-1100.</w:t>
      </w:r>
    </w:p>
  </w:footnote>
  <w:footnote w:id="9">
    <w:p w:rsidR="007A22E0" w:rsidRDefault="007A22E0">
      <w:pPr>
        <w:pStyle w:val="Notedebasdepage"/>
      </w:pPr>
      <w:r>
        <w:rPr>
          <w:rStyle w:val="Appelnotedebasdep"/>
        </w:rPr>
        <w:footnoteRef/>
      </w:r>
      <w:r>
        <w:t xml:space="preserve"> </w:t>
      </w:r>
      <w:r>
        <w:tab/>
      </w:r>
      <w:r w:rsidRPr="00732C36">
        <w:rPr>
          <w:lang w:val="fr-FR" w:eastAsia="fr-FR" w:bidi="fr-FR"/>
        </w:rPr>
        <w:t xml:space="preserve">Au sujet des notions de </w:t>
      </w:r>
      <w:r>
        <w:rPr>
          <w:lang w:val="fr-FR" w:eastAsia="fr-FR" w:bidi="fr-FR"/>
        </w:rPr>
        <w:t>« </w:t>
      </w:r>
      <w:r w:rsidRPr="00732C36">
        <w:rPr>
          <w:lang w:val="fr-FR" w:eastAsia="fr-FR" w:bidi="fr-FR"/>
        </w:rPr>
        <w:t>refuge</w:t>
      </w:r>
      <w:r>
        <w:rPr>
          <w:lang w:val="fr-FR" w:eastAsia="fr-FR" w:bidi="fr-FR"/>
        </w:rPr>
        <w:t> »</w:t>
      </w:r>
      <w:r w:rsidRPr="00732C36">
        <w:rPr>
          <w:lang w:val="fr-FR" w:eastAsia="fr-FR" w:bidi="fr-FR"/>
        </w:rPr>
        <w:t xml:space="preserve"> et de </w:t>
      </w:r>
      <w:r>
        <w:rPr>
          <w:lang w:val="fr-FR" w:eastAsia="fr-FR" w:bidi="fr-FR"/>
        </w:rPr>
        <w:t>« </w:t>
      </w:r>
      <w:r w:rsidRPr="00732C36">
        <w:rPr>
          <w:lang w:val="fr-FR" w:eastAsia="fr-FR" w:bidi="fr-FR"/>
        </w:rPr>
        <w:t>voies de relég</w:t>
      </w:r>
      <w:r w:rsidRPr="00732C36">
        <w:rPr>
          <w:lang w:val="fr-FR" w:eastAsia="fr-FR" w:bidi="fr-FR"/>
        </w:rPr>
        <w:t>a</w:t>
      </w:r>
      <w:r w:rsidRPr="00732C36">
        <w:rPr>
          <w:lang w:val="fr-FR" w:eastAsia="fr-FR" w:bidi="fr-FR"/>
        </w:rPr>
        <w:t>tion</w:t>
      </w:r>
      <w:r>
        <w:rPr>
          <w:lang w:val="fr-FR" w:eastAsia="fr-FR" w:bidi="fr-FR"/>
        </w:rPr>
        <w:t> »</w:t>
      </w:r>
      <w:r w:rsidRPr="00732C36">
        <w:rPr>
          <w:lang w:val="fr-FR" w:eastAsia="fr-FR" w:bidi="fr-FR"/>
        </w:rPr>
        <w:t xml:space="preserve">, voir P. </w:t>
      </w:r>
      <w:r w:rsidRPr="00981D53">
        <w:rPr>
          <w:lang w:val="fr-FR" w:eastAsia="fr-FR" w:bidi="fr-FR"/>
        </w:rPr>
        <w:t xml:space="preserve">Bourdieu et J. Cl. Passeron, </w:t>
      </w:r>
      <w:r w:rsidRPr="00981D53">
        <w:rPr>
          <w:i/>
          <w:iCs/>
        </w:rPr>
        <w:t>La reproduction,</w:t>
      </w:r>
      <w:r w:rsidRPr="00981D53">
        <w:rPr>
          <w:lang w:val="fr-FR" w:eastAsia="fr-FR" w:bidi="fr-FR"/>
        </w:rPr>
        <w:t xml:space="preserve"> Éléments pour une théorie du sy</w:t>
      </w:r>
      <w:r w:rsidRPr="00981D53">
        <w:rPr>
          <w:lang w:val="fr-FR" w:eastAsia="fr-FR" w:bidi="fr-FR"/>
        </w:rPr>
        <w:t>s</w:t>
      </w:r>
      <w:r w:rsidRPr="00732C36">
        <w:rPr>
          <w:lang w:val="fr-FR" w:eastAsia="fr-FR" w:bidi="fr-FR"/>
        </w:rPr>
        <w:t>tème d’enseignement, Éditions de Minuit, Paris, 1970.</w:t>
      </w:r>
    </w:p>
  </w:footnote>
  <w:footnote w:id="10">
    <w:p w:rsidR="007A22E0" w:rsidRDefault="007A22E0">
      <w:pPr>
        <w:pStyle w:val="Notedebasdepage"/>
      </w:pPr>
      <w:r>
        <w:rPr>
          <w:rStyle w:val="Appelnotedebasdep"/>
        </w:rPr>
        <w:footnoteRef/>
      </w:r>
      <w:r>
        <w:t xml:space="preserve"> </w:t>
      </w:r>
      <w:r>
        <w:tab/>
      </w:r>
      <w:r w:rsidRPr="00732C36">
        <w:rPr>
          <w:lang w:val="fr-FR" w:eastAsia="fr-FR" w:bidi="fr-FR"/>
        </w:rPr>
        <w:t>Parmi les 266 professeurs qui participent en février 1975 au vote sur l’affiliation, la plupart (près de 80%) se prononce pour l’affiliation à la F</w:t>
      </w:r>
      <w:r w:rsidRPr="00732C36">
        <w:rPr>
          <w:lang w:val="fr-FR" w:eastAsia="fr-FR" w:bidi="fr-FR"/>
        </w:rPr>
        <w:t>A</w:t>
      </w:r>
      <w:r w:rsidRPr="00732C36">
        <w:rPr>
          <w:lang w:val="fr-FR" w:eastAsia="fr-FR" w:bidi="fr-FR"/>
        </w:rPr>
        <w:t>PUQ</w:t>
      </w:r>
      <w:r>
        <w:rPr>
          <w:lang w:val="fr-FR" w:eastAsia="fr-FR" w:bidi="fr-FR"/>
        </w:rPr>
        <w:t> ;</w:t>
      </w:r>
      <w:r w:rsidRPr="00732C36">
        <w:rPr>
          <w:lang w:val="fr-FR" w:eastAsia="fr-FR" w:bidi="fr-FR"/>
        </w:rPr>
        <w:t xml:space="preserve"> la FNEQ et la CEQ reçoivent alors respectivement l’appui de 46 et de 7 profe</w:t>
      </w:r>
      <w:r w:rsidRPr="00732C36">
        <w:rPr>
          <w:lang w:val="fr-FR" w:eastAsia="fr-FR" w:bidi="fr-FR"/>
        </w:rPr>
        <w:t>s</w:t>
      </w:r>
      <w:r w:rsidRPr="00732C36">
        <w:rPr>
          <w:lang w:val="fr-FR" w:eastAsia="fr-FR" w:bidi="fr-FR"/>
        </w:rPr>
        <w:t>seurs.</w:t>
      </w:r>
    </w:p>
  </w:footnote>
  <w:footnote w:id="11">
    <w:p w:rsidR="007A22E0" w:rsidRDefault="007A22E0">
      <w:pPr>
        <w:pStyle w:val="Notedebasdepage"/>
      </w:pPr>
      <w:r>
        <w:rPr>
          <w:rStyle w:val="Appelnotedebasdep"/>
        </w:rPr>
        <w:footnoteRef/>
      </w:r>
      <w:r>
        <w:t xml:space="preserve"> </w:t>
      </w:r>
      <w:r>
        <w:tab/>
      </w:r>
      <w:r w:rsidRPr="00732C36">
        <w:rPr>
          <w:lang w:val="fr-FR" w:eastAsia="fr-FR" w:bidi="fr-FR"/>
        </w:rPr>
        <w:t xml:space="preserve">L’adoption du projet d’une </w:t>
      </w:r>
      <w:r>
        <w:rPr>
          <w:lang w:val="fr-FR" w:eastAsia="fr-FR" w:bidi="fr-FR"/>
        </w:rPr>
        <w:t>« </w:t>
      </w:r>
      <w:r w:rsidRPr="00732C36">
        <w:rPr>
          <w:lang w:val="fr-FR" w:eastAsia="fr-FR" w:bidi="fr-FR"/>
        </w:rPr>
        <w:t>mini-convention</w:t>
      </w:r>
      <w:r>
        <w:rPr>
          <w:lang w:val="fr-FR" w:eastAsia="fr-FR" w:bidi="fr-FR"/>
        </w:rPr>
        <w:t> »</w:t>
      </w:r>
      <w:r w:rsidRPr="00732C36">
        <w:rPr>
          <w:lang w:val="fr-FR" w:eastAsia="fr-FR" w:bidi="fr-FR"/>
        </w:rPr>
        <w:t>, c’est-à-dire d’une conve</w:t>
      </w:r>
      <w:r w:rsidRPr="00732C36">
        <w:rPr>
          <w:lang w:val="fr-FR" w:eastAsia="fr-FR" w:bidi="fr-FR"/>
        </w:rPr>
        <w:t>n</w:t>
      </w:r>
      <w:r w:rsidRPr="00732C36">
        <w:rPr>
          <w:lang w:val="fr-FR" w:eastAsia="fr-FR" w:bidi="fr-FR"/>
        </w:rPr>
        <w:t>tion qui ne porte que sur un redressement salarial et qui néglige des a</w:t>
      </w:r>
      <w:r w:rsidRPr="00732C36">
        <w:rPr>
          <w:lang w:val="fr-FR" w:eastAsia="fr-FR" w:bidi="fr-FR"/>
        </w:rPr>
        <w:t>s</w:t>
      </w:r>
      <w:r w:rsidRPr="00732C36">
        <w:rPr>
          <w:lang w:val="fr-FR" w:eastAsia="fr-FR" w:bidi="fr-FR"/>
        </w:rPr>
        <w:t>pects fondamentaux (permanence, classification et reclassification des profe</w:t>
      </w:r>
      <w:r w:rsidRPr="00732C36">
        <w:rPr>
          <w:lang w:val="fr-FR" w:eastAsia="fr-FR" w:bidi="fr-FR"/>
        </w:rPr>
        <w:t>s</w:t>
      </w:r>
      <w:r w:rsidRPr="00732C36">
        <w:rPr>
          <w:lang w:val="fr-FR" w:eastAsia="fr-FR" w:bidi="fr-FR"/>
        </w:rPr>
        <w:t>seurs, échelle salariale unique, etc.) entraîne alors la démission de deux membres de l’exécutif du SGPUM, le pr</w:t>
      </w:r>
      <w:r w:rsidRPr="00732C36">
        <w:rPr>
          <w:lang w:val="fr-FR" w:eastAsia="fr-FR" w:bidi="fr-FR"/>
        </w:rPr>
        <w:t>e</w:t>
      </w:r>
      <w:r w:rsidRPr="00732C36">
        <w:rPr>
          <w:lang w:val="fr-FR" w:eastAsia="fr-FR" w:bidi="fr-FR"/>
        </w:rPr>
        <w:t xml:space="preserve">mier vice-président et le président de la Section A </w:t>
      </w:r>
      <w:r w:rsidRPr="00981D53">
        <w:rPr>
          <w:lang w:val="fr-FR" w:eastAsia="fr-FR" w:bidi="fr-FR"/>
        </w:rPr>
        <w:t xml:space="preserve">(R. Parenteau et B. Charles, </w:t>
      </w:r>
      <w:r w:rsidRPr="00981D53">
        <w:rPr>
          <w:i/>
          <w:iCs/>
        </w:rPr>
        <w:t>Lettre aux membres du Conseil syndical du SGPUM,</w:t>
      </w:r>
      <w:r w:rsidRPr="00732C36">
        <w:rPr>
          <w:lang w:val="fr-FR" w:eastAsia="fr-FR" w:bidi="fr-FR"/>
        </w:rPr>
        <w:t xml:space="preserve"> 23 ja</w:t>
      </w:r>
      <w:r w:rsidRPr="00732C36">
        <w:rPr>
          <w:lang w:val="fr-FR" w:eastAsia="fr-FR" w:bidi="fr-FR"/>
        </w:rPr>
        <w:t>n</w:t>
      </w:r>
      <w:r w:rsidRPr="00732C36">
        <w:rPr>
          <w:lang w:val="fr-FR" w:eastAsia="fr-FR" w:bidi="fr-FR"/>
        </w:rPr>
        <w:t xml:space="preserve">vier 1976, 5 p.). Quelques mois plus tard (avril 1976), le projet de </w:t>
      </w:r>
      <w:r>
        <w:rPr>
          <w:lang w:val="fr-FR" w:eastAsia="fr-FR" w:bidi="fr-FR"/>
        </w:rPr>
        <w:t>« </w:t>
      </w:r>
      <w:r w:rsidRPr="00732C36">
        <w:rPr>
          <w:lang w:val="fr-FR" w:eastAsia="fr-FR" w:bidi="fr-FR"/>
        </w:rPr>
        <w:t>mini-convention</w:t>
      </w:r>
      <w:r>
        <w:rPr>
          <w:lang w:val="fr-FR" w:eastAsia="fr-FR" w:bidi="fr-FR"/>
        </w:rPr>
        <w:t> »</w:t>
      </w:r>
      <w:r w:rsidRPr="00732C36">
        <w:rPr>
          <w:lang w:val="fr-FR" w:eastAsia="fr-FR" w:bidi="fr-FR"/>
        </w:rPr>
        <w:t xml:space="preserve"> est adopté par plus de 75% des 272 professeurs réunis en assemblée générale. La proportion des professeurs qui ref</w:t>
      </w:r>
      <w:r w:rsidRPr="00732C36">
        <w:rPr>
          <w:lang w:val="fr-FR" w:eastAsia="fr-FR" w:bidi="fr-FR"/>
        </w:rPr>
        <w:t>u</w:t>
      </w:r>
      <w:r w:rsidRPr="00732C36">
        <w:rPr>
          <w:lang w:val="fr-FR" w:eastAsia="fr-FR" w:bidi="fr-FR"/>
        </w:rPr>
        <w:t>sent ce projet est alors plus élevée dans la Section A (25%) que dans la Section B (17%).</w:t>
      </w:r>
    </w:p>
  </w:footnote>
  <w:footnote w:id="12">
    <w:p w:rsidR="007A22E0" w:rsidRDefault="007A22E0">
      <w:pPr>
        <w:pStyle w:val="Notedebasdepage"/>
      </w:pPr>
      <w:r>
        <w:rPr>
          <w:rStyle w:val="Appelnotedebasdep"/>
        </w:rPr>
        <w:footnoteRef/>
      </w:r>
      <w:r>
        <w:t xml:space="preserve"> </w:t>
      </w:r>
      <w:r>
        <w:tab/>
      </w:r>
      <w:r w:rsidRPr="00732C36">
        <w:rPr>
          <w:lang w:val="fr-FR" w:eastAsia="fr-FR" w:bidi="fr-FR"/>
        </w:rPr>
        <w:t xml:space="preserve">À la suite d’un débat houleux marqué par de nombreux </w:t>
      </w:r>
      <w:r>
        <w:rPr>
          <w:lang w:val="fr-FR" w:eastAsia="fr-FR" w:bidi="fr-FR"/>
        </w:rPr>
        <w:t>« </w:t>
      </w:r>
      <w:r w:rsidRPr="00732C36">
        <w:rPr>
          <w:lang w:val="fr-FR" w:eastAsia="fr-FR" w:bidi="fr-FR"/>
        </w:rPr>
        <w:t>écarts de lang</w:t>
      </w:r>
      <w:r w:rsidRPr="00732C36">
        <w:rPr>
          <w:lang w:val="fr-FR" w:eastAsia="fr-FR" w:bidi="fr-FR"/>
        </w:rPr>
        <w:t>a</w:t>
      </w:r>
      <w:r w:rsidRPr="00732C36">
        <w:rPr>
          <w:lang w:val="fr-FR" w:eastAsia="fr-FR" w:bidi="fr-FR"/>
        </w:rPr>
        <w:t>ge</w:t>
      </w:r>
      <w:r>
        <w:rPr>
          <w:lang w:val="fr-FR" w:eastAsia="fr-FR" w:bidi="fr-FR"/>
        </w:rPr>
        <w:t> »</w:t>
      </w:r>
      <w:r w:rsidRPr="00732C36">
        <w:rPr>
          <w:lang w:val="fr-FR" w:eastAsia="fr-FR" w:bidi="fr-FR"/>
        </w:rPr>
        <w:t>, l’assemblée générale du SGPUM modifie une proposition de l’exécutif (c</w:t>
      </w:r>
      <w:r w:rsidRPr="00732C36">
        <w:rPr>
          <w:lang w:val="fr-FR" w:eastAsia="fr-FR" w:bidi="fr-FR"/>
        </w:rPr>
        <w:t>o</w:t>
      </w:r>
      <w:r w:rsidRPr="00732C36">
        <w:rPr>
          <w:lang w:val="fr-FR" w:eastAsia="fr-FR" w:bidi="fr-FR"/>
        </w:rPr>
        <w:t xml:space="preserve">tisation obligatoire) afin de rendre </w:t>
      </w:r>
      <w:r>
        <w:rPr>
          <w:lang w:val="fr-FR" w:eastAsia="fr-FR" w:bidi="fr-FR"/>
        </w:rPr>
        <w:t>« </w:t>
      </w:r>
      <w:r w:rsidRPr="00732C36">
        <w:rPr>
          <w:lang w:val="fr-FR" w:eastAsia="fr-FR" w:bidi="fr-FR"/>
        </w:rPr>
        <w:t>volontaire</w:t>
      </w:r>
      <w:r>
        <w:rPr>
          <w:lang w:val="fr-FR" w:eastAsia="fr-FR" w:bidi="fr-FR"/>
        </w:rPr>
        <w:t> »</w:t>
      </w:r>
      <w:r w:rsidRPr="00732C36">
        <w:rPr>
          <w:lang w:val="fr-FR" w:eastAsia="fr-FR" w:bidi="fr-FR"/>
        </w:rPr>
        <w:t xml:space="preserve"> l’appui financier au SPUQ ($50. par professeur).</w:t>
      </w:r>
    </w:p>
  </w:footnote>
  <w:footnote w:id="13">
    <w:p w:rsidR="007A22E0" w:rsidRDefault="007A22E0">
      <w:pPr>
        <w:pStyle w:val="Notedebasdepage"/>
      </w:pPr>
      <w:r>
        <w:rPr>
          <w:rStyle w:val="Appelnotedebasdep"/>
        </w:rPr>
        <w:footnoteRef/>
      </w:r>
      <w:r>
        <w:t xml:space="preserve"> </w:t>
      </w:r>
      <w:r>
        <w:tab/>
      </w:r>
      <w:r w:rsidRPr="00732C36">
        <w:rPr>
          <w:lang w:val="fr-FR" w:eastAsia="fr-FR" w:bidi="fr-FR"/>
        </w:rPr>
        <w:t>La rédaction du projet de convention par le Conseil du syndicat et ses d</w:t>
      </w:r>
      <w:r w:rsidRPr="00732C36">
        <w:rPr>
          <w:lang w:val="fr-FR" w:eastAsia="fr-FR" w:bidi="fr-FR"/>
        </w:rPr>
        <w:t>i</w:t>
      </w:r>
      <w:r w:rsidRPr="00732C36">
        <w:rPr>
          <w:lang w:val="fr-FR" w:eastAsia="fr-FR" w:bidi="fr-FR"/>
        </w:rPr>
        <w:t>vers comités se poursuit et se terminera à la fin du mois de décembre pour être ensuite discuté au sein des deux sections et des différents départements et adopté en assemblée générale (prob</w:t>
      </w:r>
      <w:r w:rsidRPr="00732C36">
        <w:rPr>
          <w:lang w:val="fr-FR" w:eastAsia="fr-FR" w:bidi="fr-FR"/>
        </w:rPr>
        <w:t>a</w:t>
      </w:r>
      <w:r w:rsidRPr="00732C36">
        <w:rPr>
          <w:lang w:val="fr-FR" w:eastAsia="fr-FR" w:bidi="fr-FR"/>
        </w:rPr>
        <w:t>blement fin janvier 1977).</w:t>
      </w:r>
    </w:p>
  </w:footnote>
  <w:footnote w:id="14">
    <w:p w:rsidR="007A22E0" w:rsidRDefault="007A22E0">
      <w:pPr>
        <w:pStyle w:val="Notedebasdepage"/>
      </w:pPr>
      <w:r>
        <w:rPr>
          <w:rStyle w:val="Appelnotedebasdep"/>
        </w:rPr>
        <w:footnoteRef/>
      </w:r>
      <w:r>
        <w:t xml:space="preserve"> </w:t>
      </w:r>
      <w:r>
        <w:tab/>
      </w:r>
      <w:r w:rsidRPr="00732C36">
        <w:rPr>
          <w:lang w:val="fr-FR" w:eastAsia="fr-FR" w:bidi="fr-FR"/>
        </w:rPr>
        <w:t>Par exemple</w:t>
      </w:r>
      <w:r>
        <w:rPr>
          <w:lang w:val="fr-FR" w:eastAsia="fr-FR" w:bidi="fr-FR"/>
        </w:rPr>
        <w:t> :</w:t>
      </w:r>
      <w:r w:rsidRPr="00732C36">
        <w:rPr>
          <w:lang w:val="fr-FR" w:eastAsia="fr-FR" w:bidi="fr-FR"/>
        </w:rPr>
        <w:t xml:space="preserve"> véritable démocratisation de l’accès et de la réussite à l'un</w:t>
      </w:r>
      <w:r w:rsidRPr="00732C36">
        <w:rPr>
          <w:lang w:val="fr-FR" w:eastAsia="fr-FR" w:bidi="fr-FR"/>
        </w:rPr>
        <w:t>i</w:t>
      </w:r>
      <w:r w:rsidRPr="00732C36">
        <w:rPr>
          <w:lang w:val="fr-FR" w:eastAsia="fr-FR" w:bidi="fr-FR"/>
        </w:rPr>
        <w:t>versité</w:t>
      </w:r>
      <w:r>
        <w:rPr>
          <w:lang w:val="fr-FR" w:eastAsia="fr-FR" w:bidi="fr-FR"/>
        </w:rPr>
        <w:t> ;</w:t>
      </w:r>
      <w:r w:rsidRPr="00732C36">
        <w:rPr>
          <w:lang w:val="fr-FR" w:eastAsia="fr-FR" w:bidi="fr-FR"/>
        </w:rPr>
        <w:t xml:space="preserve"> ouverture du Conseil de l’Université à des représentants du mo</w:t>
      </w:r>
      <w:r w:rsidRPr="00732C36">
        <w:rPr>
          <w:lang w:val="fr-FR" w:eastAsia="fr-FR" w:bidi="fr-FR"/>
        </w:rPr>
        <w:t>u</w:t>
      </w:r>
      <w:r w:rsidRPr="00732C36">
        <w:rPr>
          <w:lang w:val="fr-FR" w:eastAsia="fr-FR" w:bidi="fr-FR"/>
        </w:rPr>
        <w:t>vement ouvrier et des groupes populaires</w:t>
      </w:r>
      <w:r>
        <w:rPr>
          <w:lang w:val="fr-FR" w:eastAsia="fr-FR" w:bidi="fr-FR"/>
        </w:rPr>
        <w:t> ;</w:t>
      </w:r>
      <w:r w:rsidRPr="00732C36">
        <w:rPr>
          <w:lang w:val="fr-FR" w:eastAsia="fr-FR" w:bidi="fr-FR"/>
        </w:rPr>
        <w:t xml:space="preserve"> org</w:t>
      </w:r>
      <w:r w:rsidRPr="00732C36">
        <w:rPr>
          <w:lang w:val="fr-FR" w:eastAsia="fr-FR" w:bidi="fr-FR"/>
        </w:rPr>
        <w:t>a</w:t>
      </w:r>
      <w:r w:rsidRPr="00732C36">
        <w:rPr>
          <w:lang w:val="fr-FR" w:eastAsia="fr-FR" w:bidi="fr-FR"/>
        </w:rPr>
        <w:t>nisation des programmes en fonction non plus seulement de la classe dominante, mais aussi et surtout des classes dom</w:t>
      </w:r>
      <w:r w:rsidRPr="00732C36">
        <w:rPr>
          <w:lang w:val="fr-FR" w:eastAsia="fr-FR" w:bidi="fr-FR"/>
        </w:rPr>
        <w:t>i</w:t>
      </w:r>
      <w:r w:rsidRPr="00732C36">
        <w:rPr>
          <w:lang w:val="fr-FR" w:eastAsia="fr-FR" w:bidi="fr-FR"/>
        </w:rPr>
        <w:t>nées</w:t>
      </w:r>
      <w:r>
        <w:rPr>
          <w:lang w:val="fr-FR" w:eastAsia="fr-FR" w:bidi="fr-FR"/>
        </w:rPr>
        <w:t> ;</w:t>
      </w:r>
      <w:r w:rsidRPr="00732C36">
        <w:rPr>
          <w:lang w:val="fr-FR" w:eastAsia="fr-FR" w:bidi="fr-FR"/>
        </w:rPr>
        <w:t xml:space="preserve"> élaboration d’une pédagogie qui tienne compte des cara</w:t>
      </w:r>
      <w:r>
        <w:rPr>
          <w:lang w:val="fr-FR" w:eastAsia="fr-FR" w:bidi="fr-FR"/>
        </w:rPr>
        <w:t>c</w:t>
      </w:r>
      <w:r w:rsidRPr="00732C36">
        <w:rPr>
          <w:lang w:val="fr-FR" w:eastAsia="fr-FR" w:bidi="fr-FR"/>
        </w:rPr>
        <w:t>téristiques sociales et sc</w:t>
      </w:r>
      <w:r w:rsidRPr="00732C36">
        <w:rPr>
          <w:lang w:val="fr-FR" w:eastAsia="fr-FR" w:bidi="fr-FR"/>
        </w:rPr>
        <w:t>o</w:t>
      </w:r>
      <w:r w:rsidRPr="00732C36">
        <w:rPr>
          <w:lang w:val="fr-FR" w:eastAsia="fr-FR" w:bidi="fr-FR"/>
        </w:rPr>
        <w:t>laires des étudiants adultes qui sont déjà sur le marché du travail,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2E0" w:rsidRDefault="007A22E0" w:rsidP="007A22E0">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r>
    <w:r w:rsidRPr="009A1926">
      <w:rPr>
        <w:rFonts w:ascii="Times New Roman" w:hAnsi="Times New Roman"/>
      </w:rPr>
      <w:t>“Structures universitaires</w:t>
    </w:r>
    <w:r>
      <w:rPr>
        <w:rFonts w:ascii="Times New Roman" w:hAnsi="Times New Roman"/>
      </w:rPr>
      <w:t xml:space="preserve"> </w:t>
    </w:r>
    <w:r w:rsidRPr="009A1926">
      <w:rPr>
        <w:rFonts w:ascii="Times New Roman" w:hAnsi="Times New Roman"/>
      </w:rPr>
      <w:t>et pratiques syndicales</w:t>
    </w:r>
    <w:r>
      <w:rPr>
        <w:rFonts w:ascii="Times New Roman" w:hAnsi="Times New Roman"/>
      </w:rPr>
      <w:t xml:space="preserve"> </w:t>
    </w:r>
    <w:r w:rsidRPr="009A1926">
      <w:rPr>
        <w:rFonts w:ascii="Times New Roman" w:hAnsi="Times New Roman"/>
      </w:rPr>
      <w:t>à l’Université de Montréal.”</w:t>
    </w:r>
    <w:r>
      <w:rPr>
        <w:rFonts w:ascii="Times New Roman" w:hAnsi="Times New Roman"/>
      </w:rPr>
      <w:t xml:space="preserve"> </w:t>
    </w:r>
    <w:r w:rsidRPr="00C90835">
      <w:rPr>
        <w:rFonts w:ascii="Times New Roman" w:hAnsi="Times New Roman"/>
      </w:rPr>
      <w:t xml:space="preserve"> </w:t>
    </w:r>
    <w:r>
      <w:rPr>
        <w:rFonts w:ascii="Times New Roman" w:hAnsi="Times New Roman"/>
      </w:rPr>
      <w:t>(1977)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1291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rsidR="007A22E0" w:rsidRDefault="007A22E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3C2"/>
    <w:multiLevelType w:val="multilevel"/>
    <w:tmpl w:val="51D24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17B3C"/>
    <w:multiLevelType w:val="multilevel"/>
    <w:tmpl w:val="F2483B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A2256"/>
    <w:multiLevelType w:val="multilevel"/>
    <w:tmpl w:val="DB32A46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084B9C"/>
    <w:multiLevelType w:val="multilevel"/>
    <w:tmpl w:val="A4002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6132B"/>
    <w:multiLevelType w:val="multilevel"/>
    <w:tmpl w:val="06E6F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0C50B3"/>
    <w:multiLevelType w:val="multilevel"/>
    <w:tmpl w:val="62C0D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027E4"/>
    <w:multiLevelType w:val="multilevel"/>
    <w:tmpl w:val="1A382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A5EDD"/>
    <w:multiLevelType w:val="multilevel"/>
    <w:tmpl w:val="313C3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A15FB"/>
    <w:multiLevelType w:val="multilevel"/>
    <w:tmpl w:val="C0AAE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E51F8A"/>
    <w:multiLevelType w:val="multilevel"/>
    <w:tmpl w:val="54B4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66DEF"/>
    <w:multiLevelType w:val="multilevel"/>
    <w:tmpl w:val="5C14E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65D69"/>
    <w:multiLevelType w:val="multilevel"/>
    <w:tmpl w:val="87D8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E5628A"/>
    <w:multiLevelType w:val="multilevel"/>
    <w:tmpl w:val="2F22971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AF1A02"/>
    <w:multiLevelType w:val="multilevel"/>
    <w:tmpl w:val="07DE2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1041EF"/>
    <w:multiLevelType w:val="multilevel"/>
    <w:tmpl w:val="54920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547B47"/>
    <w:multiLevelType w:val="multilevel"/>
    <w:tmpl w:val="4B9CF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A0A9B"/>
    <w:multiLevelType w:val="multilevel"/>
    <w:tmpl w:val="2F46EC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0F1D64"/>
    <w:multiLevelType w:val="multilevel"/>
    <w:tmpl w:val="564E4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C2598F"/>
    <w:multiLevelType w:val="multilevel"/>
    <w:tmpl w:val="38A6B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D948E8"/>
    <w:multiLevelType w:val="multilevel"/>
    <w:tmpl w:val="747AF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B81857"/>
    <w:multiLevelType w:val="multilevel"/>
    <w:tmpl w:val="C99E4A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A06CB6"/>
    <w:multiLevelType w:val="multilevel"/>
    <w:tmpl w:val="AD9237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D31F93"/>
    <w:multiLevelType w:val="multilevel"/>
    <w:tmpl w:val="FA7066B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5A6E05"/>
    <w:multiLevelType w:val="multilevel"/>
    <w:tmpl w:val="F4CCE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4D75DA"/>
    <w:multiLevelType w:val="multilevel"/>
    <w:tmpl w:val="FA7AA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15386B"/>
    <w:multiLevelType w:val="multilevel"/>
    <w:tmpl w:val="55D68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2649C8"/>
    <w:multiLevelType w:val="multilevel"/>
    <w:tmpl w:val="758C0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920AAA"/>
    <w:multiLevelType w:val="multilevel"/>
    <w:tmpl w:val="AF3AAF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6603A4"/>
    <w:multiLevelType w:val="multilevel"/>
    <w:tmpl w:val="A90CC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FB4C86"/>
    <w:multiLevelType w:val="multilevel"/>
    <w:tmpl w:val="C7E07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0E4408"/>
    <w:multiLevelType w:val="multilevel"/>
    <w:tmpl w:val="50F89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2F3094"/>
    <w:multiLevelType w:val="multilevel"/>
    <w:tmpl w:val="D5DCE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342826"/>
    <w:multiLevelType w:val="multilevel"/>
    <w:tmpl w:val="CF046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E5203B"/>
    <w:multiLevelType w:val="multilevel"/>
    <w:tmpl w:val="39A4D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17"/>
  </w:num>
  <w:num w:numId="4">
    <w:abstractNumId w:val="21"/>
  </w:num>
  <w:num w:numId="5">
    <w:abstractNumId w:val="16"/>
  </w:num>
  <w:num w:numId="6">
    <w:abstractNumId w:val="23"/>
  </w:num>
  <w:num w:numId="7">
    <w:abstractNumId w:val="13"/>
  </w:num>
  <w:num w:numId="8">
    <w:abstractNumId w:val="5"/>
  </w:num>
  <w:num w:numId="9">
    <w:abstractNumId w:val="30"/>
  </w:num>
  <w:num w:numId="10">
    <w:abstractNumId w:val="31"/>
  </w:num>
  <w:num w:numId="11">
    <w:abstractNumId w:val="8"/>
  </w:num>
  <w:num w:numId="12">
    <w:abstractNumId w:val="22"/>
  </w:num>
  <w:num w:numId="13">
    <w:abstractNumId w:val="6"/>
  </w:num>
  <w:num w:numId="14">
    <w:abstractNumId w:val="20"/>
  </w:num>
  <w:num w:numId="15">
    <w:abstractNumId w:val="7"/>
  </w:num>
  <w:num w:numId="16">
    <w:abstractNumId w:val="34"/>
  </w:num>
  <w:num w:numId="17">
    <w:abstractNumId w:val="19"/>
  </w:num>
  <w:num w:numId="18">
    <w:abstractNumId w:val="33"/>
  </w:num>
  <w:num w:numId="19">
    <w:abstractNumId w:val="2"/>
  </w:num>
  <w:num w:numId="20">
    <w:abstractNumId w:val="0"/>
  </w:num>
  <w:num w:numId="21">
    <w:abstractNumId w:val="14"/>
  </w:num>
  <w:num w:numId="22">
    <w:abstractNumId w:val="15"/>
  </w:num>
  <w:num w:numId="23">
    <w:abstractNumId w:val="26"/>
  </w:num>
  <w:num w:numId="24">
    <w:abstractNumId w:val="27"/>
  </w:num>
  <w:num w:numId="25">
    <w:abstractNumId w:val="28"/>
  </w:num>
  <w:num w:numId="26">
    <w:abstractNumId w:val="1"/>
  </w:num>
  <w:num w:numId="27">
    <w:abstractNumId w:val="25"/>
  </w:num>
  <w:num w:numId="28">
    <w:abstractNumId w:val="10"/>
  </w:num>
  <w:num w:numId="29">
    <w:abstractNumId w:val="12"/>
  </w:num>
  <w:num w:numId="30">
    <w:abstractNumId w:val="24"/>
  </w:num>
  <w:num w:numId="31">
    <w:abstractNumId w:val="3"/>
  </w:num>
  <w:num w:numId="32">
    <w:abstractNumId w:val="29"/>
  </w:num>
  <w:num w:numId="33">
    <w:abstractNumId w:val="32"/>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A7171"/>
    <w:rsid w:val="007A22E0"/>
    <w:rsid w:val="00F1291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2BDE1560-38EF-7641-BD1A-DA5B5957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764D32"/>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EC432A"/>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A1926"/>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3Arial7ptItalique">
    <w:name w:val="Corps du texte (3) + Arial;7 pt;Italique"/>
    <w:rsid w:val="004E3BD6"/>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En-tteoupieddepage2">
    <w:name w:val="En-tête ou pied de page (2)"/>
    <w:rsid w:val="004E5DC6"/>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Notedebasdepage0">
    <w:name w:val="Note de bas de page_"/>
    <w:link w:val="Notedebasdepage1"/>
    <w:rsid w:val="004E5DC6"/>
    <w:rPr>
      <w:rFonts w:ascii="Times New Roman" w:eastAsia="Times New Roman" w:hAnsi="Times New Roman"/>
      <w:sz w:val="14"/>
      <w:szCs w:val="14"/>
      <w:shd w:val="clear" w:color="auto" w:fill="FFFFFF"/>
    </w:rPr>
  </w:style>
  <w:style w:type="character" w:customStyle="1" w:styleId="NotedebasdepageItalique">
    <w:name w:val="Note de bas de page + Italique"/>
    <w:rsid w:val="004E5DC6"/>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Notedebasdepage3">
    <w:name w:val="Note de bas de page (3)_"/>
    <w:link w:val="Notedebasdepage30"/>
    <w:rsid w:val="004E5DC6"/>
    <w:rPr>
      <w:rFonts w:ascii="Times New Roman" w:eastAsia="Times New Roman" w:hAnsi="Times New Roman"/>
      <w:sz w:val="18"/>
      <w:szCs w:val="18"/>
      <w:shd w:val="clear" w:color="auto" w:fill="FFFFFF"/>
    </w:rPr>
  </w:style>
  <w:style w:type="character" w:customStyle="1" w:styleId="Notedebasdepage4">
    <w:name w:val="Note de bas de page (4)_"/>
    <w:link w:val="Notedebasdepage40"/>
    <w:rsid w:val="004E5DC6"/>
    <w:rPr>
      <w:rFonts w:ascii="Times New Roman" w:eastAsia="Times New Roman" w:hAnsi="Times New Roman"/>
      <w:i/>
      <w:iCs/>
      <w:sz w:val="14"/>
      <w:szCs w:val="14"/>
      <w:shd w:val="clear" w:color="auto" w:fill="FFFFFF"/>
    </w:rPr>
  </w:style>
  <w:style w:type="character" w:customStyle="1" w:styleId="Notedebasdepage4NonItalique">
    <w:name w:val="Note de bas de page (4) + Non Italique"/>
    <w:rsid w:val="004E5DC6"/>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Lgendedelimage2">
    <w:name w:val="Légende de l'image (2)_"/>
    <w:link w:val="Lgendedelimage20"/>
    <w:rsid w:val="004E5DC6"/>
    <w:rPr>
      <w:rFonts w:ascii="Arial" w:eastAsia="Arial" w:hAnsi="Arial" w:cs="Arial"/>
      <w:b/>
      <w:bCs/>
      <w:shd w:val="clear" w:color="auto" w:fill="FFFFFF"/>
    </w:rPr>
  </w:style>
  <w:style w:type="paragraph" w:customStyle="1" w:styleId="aa">
    <w:name w:val="aa"/>
    <w:basedOn w:val="Normal"/>
    <w:autoRedefine/>
    <w:rsid w:val="002343CA"/>
    <w:pPr>
      <w:spacing w:before="120" w:after="120"/>
    </w:pPr>
    <w:rPr>
      <w:b/>
      <w:i/>
      <w:color w:val="0000FF"/>
      <w:sz w:val="32"/>
      <w:lang w:eastAsia="fr-FR" w:bidi="fr-FR"/>
    </w:rPr>
  </w:style>
  <w:style w:type="paragraph" w:customStyle="1" w:styleId="b">
    <w:name w:val="b"/>
    <w:basedOn w:val="Normal"/>
    <w:autoRedefine/>
    <w:rsid w:val="004E5DC6"/>
    <w:pPr>
      <w:spacing w:before="120" w:after="120"/>
      <w:ind w:left="720"/>
    </w:pPr>
    <w:rPr>
      <w:i/>
      <w:color w:val="0000FF"/>
    </w:rPr>
  </w:style>
  <w:style w:type="paragraph" w:customStyle="1" w:styleId="bb">
    <w:name w:val="bb"/>
    <w:basedOn w:val="Normal"/>
    <w:rsid w:val="004E5DC6"/>
    <w:pPr>
      <w:spacing w:before="120" w:after="120"/>
      <w:ind w:left="540"/>
    </w:pPr>
    <w:rPr>
      <w:i/>
      <w:color w:val="0000FF"/>
    </w:rPr>
  </w:style>
  <w:style w:type="character" w:customStyle="1" w:styleId="Grillemoyenne2-Accent2Car">
    <w:name w:val="Grille moyenne 2 - Accent 2 Car"/>
    <w:link w:val="Grillemoyenne2-Accent2"/>
    <w:rsid w:val="00764D32"/>
    <w:rPr>
      <w:rFonts w:ascii="Times New Roman" w:eastAsia="Times New Roman" w:hAnsi="Times New Roman"/>
      <w:color w:val="000080"/>
      <w:sz w:val="24"/>
      <w:lang w:val="fr-CA" w:eastAsia="en-US"/>
    </w:rPr>
  </w:style>
  <w:style w:type="character" w:customStyle="1" w:styleId="CorpsdetexteCar">
    <w:name w:val="Corps de texte Car"/>
    <w:link w:val="Corpsdetexte"/>
    <w:rsid w:val="004E5DC6"/>
    <w:rPr>
      <w:rFonts w:ascii="Times New Roman" w:eastAsia="Times New Roman" w:hAnsi="Times New Roman"/>
      <w:sz w:val="72"/>
      <w:lang w:val="fr-CA" w:eastAsia="en-US"/>
    </w:rPr>
  </w:style>
  <w:style w:type="paragraph" w:styleId="Corpsdetexte2">
    <w:name w:val="Body Text 2"/>
    <w:basedOn w:val="Normal"/>
    <w:link w:val="Corpsdetexte2Car"/>
    <w:rsid w:val="004E5DC6"/>
    <w:pPr>
      <w:jc w:val="both"/>
    </w:pPr>
    <w:rPr>
      <w:rFonts w:ascii="Arial" w:hAnsi="Arial"/>
    </w:rPr>
  </w:style>
  <w:style w:type="character" w:customStyle="1" w:styleId="Corpsdetexte2Car">
    <w:name w:val="Corps de texte 2 Car"/>
    <w:link w:val="Corpsdetexte2"/>
    <w:rsid w:val="004E5DC6"/>
    <w:rPr>
      <w:rFonts w:ascii="Arial" w:eastAsia="Times New Roman" w:hAnsi="Arial"/>
      <w:sz w:val="28"/>
      <w:lang w:val="fr-CA" w:eastAsia="en-US"/>
    </w:rPr>
  </w:style>
  <w:style w:type="character" w:customStyle="1" w:styleId="Tabledesmatires2">
    <w:name w:val="Table des matières (2)_"/>
    <w:link w:val="Tabledesmatires20"/>
    <w:rsid w:val="004E5DC6"/>
    <w:rPr>
      <w:rFonts w:ascii="Times New Roman" w:eastAsia="Times New Roman" w:hAnsi="Times New Roman"/>
      <w:sz w:val="21"/>
      <w:szCs w:val="21"/>
      <w:shd w:val="clear" w:color="auto" w:fill="FFFFFF"/>
    </w:rPr>
  </w:style>
  <w:style w:type="character" w:customStyle="1" w:styleId="Tabledesmatires">
    <w:name w:val="Table des matières_"/>
    <w:link w:val="Tabledesmatires0"/>
    <w:rsid w:val="004E5DC6"/>
    <w:rPr>
      <w:rFonts w:ascii="Times New Roman" w:eastAsia="Times New Roman" w:hAnsi="Times New Roman"/>
      <w:b/>
      <w:bCs/>
      <w:sz w:val="18"/>
      <w:szCs w:val="18"/>
      <w:shd w:val="clear" w:color="auto" w:fill="FFFFFF"/>
    </w:rPr>
  </w:style>
  <w:style w:type="character" w:customStyle="1" w:styleId="Tabledesmatires95ptNonGrasItalique">
    <w:name w:val="Table des matières + 9.5 pt;Non Gras;Italique"/>
    <w:rsid w:val="004E5DC6"/>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TabledesmatiresItalique">
    <w:name w:val="Table des matières + Italique"/>
    <w:rsid w:val="004E5DC6"/>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Tabledesmatires95ptNonGras">
    <w:name w:val="Table des matières + 9.5 pt;Non Gras"/>
    <w:rsid w:val="004E5DC6"/>
    <w:rPr>
      <w:rFonts w:ascii="Times New Roman" w:eastAsia="Times New Roman" w:hAnsi="Times New Roman"/>
      <w:b/>
      <w:bCs/>
      <w:color w:val="000000"/>
      <w:spacing w:val="0"/>
      <w:w w:val="100"/>
      <w:position w:val="0"/>
      <w:sz w:val="19"/>
      <w:szCs w:val="19"/>
      <w:shd w:val="clear" w:color="auto" w:fill="FFFFFF"/>
      <w:lang w:val="fr-FR" w:eastAsia="fr-FR" w:bidi="fr-FR"/>
    </w:rPr>
  </w:style>
  <w:style w:type="character" w:customStyle="1" w:styleId="Tabledesmatires105ptNonGras">
    <w:name w:val="Table des matières + 10.5 pt;Non Gras"/>
    <w:rsid w:val="004E5DC6"/>
    <w:rPr>
      <w:rFonts w:ascii="Times New Roman" w:eastAsia="Times New Roman" w:hAnsi="Times New Roman"/>
      <w:b/>
      <w:bCs/>
      <w:color w:val="000000"/>
      <w:spacing w:val="0"/>
      <w:w w:val="100"/>
      <w:position w:val="0"/>
      <w:sz w:val="21"/>
      <w:szCs w:val="21"/>
      <w:shd w:val="clear" w:color="auto" w:fill="FFFFFF"/>
      <w:lang w:val="fr-FR" w:eastAsia="fr-FR" w:bidi="fr-FR"/>
    </w:rPr>
  </w:style>
  <w:style w:type="character" w:customStyle="1" w:styleId="Corpsdutexte1695ptNonGrasItalique">
    <w:name w:val="Corps du texte (16) + 9.5 pt;Non Gras;Italique"/>
    <w:rsid w:val="004E5DC6"/>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695ptNonGras">
    <w:name w:val="Corps du texte (16) + 9.5 pt;Non Gras"/>
    <w:rsid w:val="004E5DC6"/>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Tabledesmatires3">
    <w:name w:val="Table des matières (3)_"/>
    <w:link w:val="Tabledesmatires30"/>
    <w:rsid w:val="004E5DC6"/>
    <w:rPr>
      <w:rFonts w:ascii="Times New Roman" w:eastAsia="Times New Roman" w:hAnsi="Times New Roman"/>
      <w:sz w:val="18"/>
      <w:szCs w:val="18"/>
      <w:shd w:val="clear" w:color="auto" w:fill="FFFFFF"/>
    </w:rPr>
  </w:style>
  <w:style w:type="character" w:customStyle="1" w:styleId="TabledesmatiresNonGrasItalique">
    <w:name w:val="Table des matières + Non Gras;Italique"/>
    <w:rsid w:val="004E5DC6"/>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TabledesmatiresNonGras">
    <w:name w:val="Table des matières + Non Gras"/>
    <w:rsid w:val="004E5DC6"/>
    <w:rPr>
      <w:rFonts w:ascii="Times New Roman" w:eastAsia="Times New Roman" w:hAnsi="Times New Roman"/>
      <w:b/>
      <w:bCs/>
      <w:color w:val="000000"/>
      <w:spacing w:val="0"/>
      <w:w w:val="100"/>
      <w:position w:val="0"/>
      <w:sz w:val="18"/>
      <w:szCs w:val="18"/>
      <w:shd w:val="clear" w:color="auto" w:fill="FFFFFF"/>
      <w:lang w:val="fr-FR" w:eastAsia="fr-FR" w:bidi="fr-FR"/>
    </w:rPr>
  </w:style>
  <w:style w:type="character" w:customStyle="1" w:styleId="En-tte1">
    <w:name w:val="En-tête #1_"/>
    <w:link w:val="En-tte10"/>
    <w:rsid w:val="004E5DC6"/>
    <w:rPr>
      <w:rFonts w:ascii="Times New Roman" w:eastAsia="Times New Roman" w:hAnsi="Times New Roman"/>
      <w:b/>
      <w:bCs/>
      <w:i/>
      <w:iCs/>
      <w:sz w:val="48"/>
      <w:szCs w:val="48"/>
      <w:shd w:val="clear" w:color="auto" w:fill="FFFFFF"/>
    </w:rPr>
  </w:style>
  <w:style w:type="paragraph" w:styleId="Corpsdetexte3">
    <w:name w:val="Body Text 3"/>
    <w:basedOn w:val="Normal"/>
    <w:link w:val="Corpsdetexte3Car"/>
    <w:rsid w:val="004E5DC6"/>
    <w:pPr>
      <w:tabs>
        <w:tab w:val="left" w:pos="510"/>
        <w:tab w:val="left" w:pos="510"/>
      </w:tabs>
      <w:jc w:val="both"/>
    </w:pPr>
    <w:rPr>
      <w:rFonts w:ascii="Arial" w:hAnsi="Arial"/>
      <w:sz w:val="20"/>
    </w:rPr>
  </w:style>
  <w:style w:type="character" w:customStyle="1" w:styleId="Corpsdetexte3Car">
    <w:name w:val="Corps de texte 3 Car"/>
    <w:link w:val="Corpsdetexte3"/>
    <w:rsid w:val="004E5DC6"/>
    <w:rPr>
      <w:rFonts w:ascii="Arial" w:eastAsia="Times New Roman" w:hAnsi="Arial"/>
      <w:lang w:val="fr-CA" w:eastAsia="en-US"/>
    </w:rPr>
  </w:style>
  <w:style w:type="character" w:customStyle="1" w:styleId="En-tte2">
    <w:name w:val="En-tête #2_"/>
    <w:link w:val="En-tte20"/>
    <w:rsid w:val="004E5DC6"/>
    <w:rPr>
      <w:rFonts w:ascii="Times New Roman" w:eastAsia="Times New Roman" w:hAnsi="Times New Roman"/>
      <w:i/>
      <w:iCs/>
      <w:shd w:val="clear" w:color="auto" w:fill="FFFFFF"/>
    </w:rPr>
  </w:style>
  <w:style w:type="paragraph" w:customStyle="1" w:styleId="dd">
    <w:name w:val="dd"/>
    <w:basedOn w:val="Normal"/>
    <w:autoRedefine/>
    <w:rsid w:val="004E5DC6"/>
    <w:pPr>
      <w:spacing w:before="120" w:after="120"/>
      <w:ind w:left="1080"/>
    </w:pPr>
    <w:rPr>
      <w:i/>
      <w:color w:val="008000"/>
    </w:rPr>
  </w:style>
  <w:style w:type="character" w:customStyle="1" w:styleId="En-tteCar">
    <w:name w:val="En-tête Car"/>
    <w:link w:val="En-tte"/>
    <w:uiPriority w:val="99"/>
    <w:rsid w:val="004E5DC6"/>
    <w:rPr>
      <w:rFonts w:ascii="GillSans" w:eastAsia="Times New Roman" w:hAnsi="GillSans"/>
      <w:lang w:val="fr-CA" w:eastAsia="en-US"/>
    </w:rPr>
  </w:style>
  <w:style w:type="character" w:customStyle="1" w:styleId="En-tteoupieddepage">
    <w:name w:val="En-tête ou pied de page_"/>
    <w:rsid w:val="004E5DC6"/>
    <w:rPr>
      <w:rFonts w:ascii="Times New Roman" w:eastAsia="Times New Roman" w:hAnsi="Times New Roman" w:cs="Times New Roman"/>
      <w:b w:val="0"/>
      <w:bCs w:val="0"/>
      <w:i/>
      <w:iCs/>
      <w:smallCaps w:val="0"/>
      <w:strike w:val="0"/>
      <w:sz w:val="18"/>
      <w:szCs w:val="18"/>
      <w:u w:val="none"/>
    </w:rPr>
  </w:style>
  <w:style w:type="character" w:customStyle="1" w:styleId="Lgendedelimage3Exact">
    <w:name w:val="Légende de l'image (3) Exact"/>
    <w:link w:val="Lgendedelimage3"/>
    <w:rsid w:val="004E5DC6"/>
    <w:rPr>
      <w:rFonts w:ascii="Times New Roman" w:eastAsia="Times New Roman" w:hAnsi="Times New Roman"/>
      <w:i/>
      <w:iCs/>
      <w:shd w:val="clear" w:color="auto" w:fill="FFFFFF"/>
    </w:rPr>
  </w:style>
  <w:style w:type="character" w:customStyle="1" w:styleId="Lgendedelimage3NonItaliqueExact">
    <w:name w:val="Légende de l'image (3) + Non Italique Exact"/>
    <w:rsid w:val="004E5DC6"/>
    <w:rPr>
      <w:rFonts w:ascii="Times New Roman" w:eastAsia="Times New Roman" w:hAnsi="Times New Roman"/>
      <w:i/>
      <w:iCs/>
      <w:color w:val="000000"/>
      <w:spacing w:val="0"/>
      <w:w w:val="100"/>
      <w:position w:val="0"/>
      <w:sz w:val="24"/>
      <w:szCs w:val="24"/>
      <w:shd w:val="clear" w:color="auto" w:fill="FFFFFF"/>
      <w:lang w:val="fr-FR" w:eastAsia="fr-FR" w:bidi="fr-FR"/>
    </w:rPr>
  </w:style>
  <w:style w:type="paragraph" w:customStyle="1" w:styleId="figlgende">
    <w:name w:val="fig légende"/>
    <w:basedOn w:val="Normal0"/>
    <w:rsid w:val="004E5DC6"/>
    <w:rPr>
      <w:color w:val="000090"/>
      <w:sz w:val="24"/>
      <w:szCs w:val="16"/>
      <w:lang w:eastAsia="fr-FR"/>
    </w:rPr>
  </w:style>
  <w:style w:type="paragraph" w:customStyle="1" w:styleId="figst">
    <w:name w:val="fig st"/>
    <w:basedOn w:val="Normal"/>
    <w:autoRedefine/>
    <w:rsid w:val="00001D0C"/>
    <w:pPr>
      <w:spacing w:before="120" w:after="120"/>
      <w:jc w:val="center"/>
    </w:pPr>
    <w:rPr>
      <w:rFonts w:cs="Arial"/>
      <w:color w:val="000090"/>
      <w:sz w:val="24"/>
      <w:szCs w:val="16"/>
      <w:lang w:eastAsia="fr-FR" w:bidi="fr-FR"/>
    </w:rPr>
  </w:style>
  <w:style w:type="character" w:customStyle="1" w:styleId="En-tte2Exact">
    <w:name w:val="En-tête #2 Exact"/>
    <w:rsid w:val="004E5DC6"/>
    <w:rPr>
      <w:rFonts w:ascii="Times New Roman" w:eastAsia="Times New Roman" w:hAnsi="Times New Roman" w:cs="Times New Roman"/>
      <w:b w:val="0"/>
      <w:bCs w:val="0"/>
      <w:i/>
      <w:iCs/>
      <w:smallCaps w:val="0"/>
      <w:strike w:val="0"/>
      <w:u w:val="none"/>
    </w:rPr>
  </w:style>
  <w:style w:type="paragraph" w:customStyle="1" w:styleId="figtitre">
    <w:name w:val="fig titre"/>
    <w:basedOn w:val="Normal"/>
    <w:autoRedefine/>
    <w:rsid w:val="00001D0C"/>
    <w:pPr>
      <w:spacing w:before="120" w:after="120"/>
      <w:jc w:val="center"/>
    </w:pPr>
    <w:rPr>
      <w:rFonts w:cs="Arial"/>
      <w:b/>
      <w:bCs/>
      <w:sz w:val="24"/>
      <w:szCs w:val="12"/>
      <w:lang w:eastAsia="fr-FR" w:bidi="fr-FR"/>
    </w:rPr>
  </w:style>
  <w:style w:type="character" w:customStyle="1" w:styleId="En-tteoupieddepage85ptNonItalique">
    <w:name w:val="En-tête ou pied de page + 8.5 pt;Non Italique"/>
    <w:rsid w:val="004E5DC6"/>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0">
    <w:name w:val="En-tête ou pied de page"/>
    <w:rsid w:val="004E5DC6"/>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55ptNonItalique">
    <w:name w:val="En-tête ou pied de page + 5.5 pt;Non Italique"/>
    <w:rsid w:val="004E5DC6"/>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En-tte155ptNonGrasNonItalique">
    <w:name w:val="En-tête #1 + 5.5 pt;Non Gras;Non Italique"/>
    <w:rsid w:val="004E5DC6"/>
    <w:rPr>
      <w:rFonts w:ascii="Times New Roman" w:eastAsia="Times New Roman" w:hAnsi="Times New Roman"/>
      <w:b/>
      <w:bCs/>
      <w:i/>
      <w:iCs/>
      <w:color w:val="000000"/>
      <w:spacing w:val="0"/>
      <w:w w:val="100"/>
      <w:position w:val="0"/>
      <w:sz w:val="11"/>
      <w:szCs w:val="11"/>
      <w:shd w:val="clear" w:color="auto" w:fill="FFFFFF"/>
      <w:lang w:val="fr-FR" w:eastAsia="fr-FR" w:bidi="fr-FR"/>
    </w:rPr>
  </w:style>
  <w:style w:type="character" w:customStyle="1" w:styleId="Corpsdutexte2GrasItalique">
    <w:name w:val="Corps du texte (2) + Gras;Italique"/>
    <w:rsid w:val="004E5DC6"/>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Lgendedutableau">
    <w:name w:val="Légende du tableau_"/>
    <w:link w:val="Lgendedutableau0"/>
    <w:rsid w:val="004E5DC6"/>
    <w:rPr>
      <w:rFonts w:ascii="Times New Roman" w:eastAsia="Times New Roman" w:hAnsi="Times New Roman"/>
      <w:sz w:val="14"/>
      <w:szCs w:val="14"/>
      <w:shd w:val="clear" w:color="auto" w:fill="FFFFFF"/>
    </w:rPr>
  </w:style>
  <w:style w:type="character" w:customStyle="1" w:styleId="LgendedutableauItalique">
    <w:name w:val="Légende du tableau + Italique"/>
    <w:rsid w:val="004E5DC6"/>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En-tte210ptNonItalique">
    <w:name w:val="En-tête #2 + 10 pt;Non Italique"/>
    <w:rsid w:val="004E5DC6"/>
    <w:rPr>
      <w:rFonts w:ascii="Times New Roman" w:eastAsia="Times New Roman" w:hAnsi="Times New Roman"/>
      <w:i/>
      <w:iCs/>
      <w:color w:val="000000"/>
      <w:spacing w:val="0"/>
      <w:w w:val="100"/>
      <w:position w:val="0"/>
      <w:sz w:val="20"/>
      <w:szCs w:val="20"/>
      <w:shd w:val="clear" w:color="auto" w:fill="FFFFFF"/>
      <w:lang w:val="fr-FR" w:eastAsia="fr-FR" w:bidi="fr-FR"/>
    </w:rPr>
  </w:style>
  <w:style w:type="paragraph" w:customStyle="1" w:styleId="Notedebasdepage1">
    <w:name w:val="Note de bas de page1"/>
    <w:basedOn w:val="Normal"/>
    <w:link w:val="Notedebasdepage0"/>
    <w:rsid w:val="004E5DC6"/>
    <w:pPr>
      <w:widowControl w:val="0"/>
      <w:shd w:val="clear" w:color="auto" w:fill="FFFFFF"/>
      <w:spacing w:line="0" w:lineRule="atLeast"/>
      <w:ind w:hanging="7"/>
      <w:jc w:val="both"/>
    </w:pPr>
    <w:rPr>
      <w:sz w:val="14"/>
      <w:szCs w:val="14"/>
      <w:lang w:val="x-none" w:eastAsia="x-none"/>
    </w:rPr>
  </w:style>
  <w:style w:type="paragraph" w:customStyle="1" w:styleId="Notedebasdepage30">
    <w:name w:val="Note de bas de page (3)"/>
    <w:basedOn w:val="Normal"/>
    <w:link w:val="Notedebasdepage3"/>
    <w:rsid w:val="004E5DC6"/>
    <w:pPr>
      <w:widowControl w:val="0"/>
      <w:shd w:val="clear" w:color="auto" w:fill="FFFFFF"/>
      <w:spacing w:line="0" w:lineRule="atLeast"/>
      <w:jc w:val="center"/>
    </w:pPr>
    <w:rPr>
      <w:sz w:val="18"/>
      <w:szCs w:val="18"/>
      <w:lang w:val="x-none" w:eastAsia="x-none"/>
    </w:rPr>
  </w:style>
  <w:style w:type="paragraph" w:customStyle="1" w:styleId="Notedebasdepage40">
    <w:name w:val="Note de bas de page (4)"/>
    <w:basedOn w:val="Normal"/>
    <w:link w:val="Notedebasdepage4"/>
    <w:rsid w:val="004E5DC6"/>
    <w:pPr>
      <w:widowControl w:val="0"/>
      <w:shd w:val="clear" w:color="auto" w:fill="FFFFFF"/>
      <w:spacing w:line="0" w:lineRule="atLeast"/>
      <w:ind w:firstLine="8"/>
    </w:pPr>
    <w:rPr>
      <w:i/>
      <w:iCs/>
      <w:sz w:val="14"/>
      <w:szCs w:val="14"/>
      <w:lang w:val="x-none" w:eastAsia="x-none"/>
    </w:rPr>
  </w:style>
  <w:style w:type="paragraph" w:customStyle="1" w:styleId="Lgendedelimage20">
    <w:name w:val="Légende de l'image (2)"/>
    <w:basedOn w:val="Normal"/>
    <w:link w:val="Lgendedelimage2"/>
    <w:rsid w:val="004E5DC6"/>
    <w:pPr>
      <w:widowControl w:val="0"/>
      <w:shd w:val="clear" w:color="auto" w:fill="FFFFFF"/>
      <w:spacing w:line="0" w:lineRule="atLeast"/>
      <w:ind w:firstLine="32"/>
    </w:pPr>
    <w:rPr>
      <w:rFonts w:ascii="Arial" w:eastAsia="Arial" w:hAnsi="Arial"/>
      <w:b/>
      <w:bCs/>
      <w:sz w:val="20"/>
      <w:lang w:val="x-none" w:eastAsia="x-none"/>
    </w:rPr>
  </w:style>
  <w:style w:type="character" w:customStyle="1" w:styleId="NotedebasdepageCar">
    <w:name w:val="Note de bas de page Car"/>
    <w:link w:val="Notedebasdepage"/>
    <w:rsid w:val="004E5DC6"/>
    <w:rPr>
      <w:rFonts w:ascii="Times New Roman" w:eastAsia="Times New Roman" w:hAnsi="Times New Roman"/>
      <w:color w:val="000000"/>
      <w:sz w:val="24"/>
      <w:lang w:val="fr-CA" w:eastAsia="en-US"/>
    </w:rPr>
  </w:style>
  <w:style w:type="character" w:customStyle="1" w:styleId="NotedefinCar">
    <w:name w:val="Note de fin Car"/>
    <w:link w:val="Notedefin"/>
    <w:rsid w:val="004E5DC6"/>
    <w:rPr>
      <w:rFonts w:ascii="Times New Roman" w:eastAsia="Times New Roman" w:hAnsi="Times New Roman"/>
      <w:lang w:eastAsia="en-US"/>
    </w:rPr>
  </w:style>
  <w:style w:type="paragraph" w:customStyle="1" w:styleId="Tabledesmatires20">
    <w:name w:val="Table des matières (2)"/>
    <w:basedOn w:val="Normal"/>
    <w:link w:val="Tabledesmatires2"/>
    <w:rsid w:val="004E5DC6"/>
    <w:pPr>
      <w:widowControl w:val="0"/>
      <w:shd w:val="clear" w:color="auto" w:fill="FFFFFF"/>
      <w:spacing w:before="60" w:after="240" w:line="0" w:lineRule="atLeast"/>
      <w:ind w:firstLine="39"/>
      <w:jc w:val="both"/>
    </w:pPr>
    <w:rPr>
      <w:sz w:val="21"/>
      <w:szCs w:val="21"/>
      <w:lang w:val="x-none" w:eastAsia="x-none"/>
    </w:rPr>
  </w:style>
  <w:style w:type="paragraph" w:customStyle="1" w:styleId="Tabledesmatires0">
    <w:name w:val="Table des matières"/>
    <w:basedOn w:val="Normal"/>
    <w:link w:val="Tabledesmatires"/>
    <w:rsid w:val="004E5DC6"/>
    <w:pPr>
      <w:widowControl w:val="0"/>
      <w:shd w:val="clear" w:color="auto" w:fill="FFFFFF"/>
      <w:spacing w:before="240" w:after="60" w:line="202" w:lineRule="exact"/>
      <w:ind w:hanging="701"/>
    </w:pPr>
    <w:rPr>
      <w:b/>
      <w:bCs/>
      <w:sz w:val="18"/>
      <w:szCs w:val="18"/>
      <w:lang w:val="x-none" w:eastAsia="x-none"/>
    </w:rPr>
  </w:style>
  <w:style w:type="paragraph" w:customStyle="1" w:styleId="Tabledesmatires30">
    <w:name w:val="Table des matières (3)"/>
    <w:basedOn w:val="Normal"/>
    <w:link w:val="Tabledesmatires3"/>
    <w:rsid w:val="004E5DC6"/>
    <w:pPr>
      <w:widowControl w:val="0"/>
      <w:shd w:val="clear" w:color="auto" w:fill="FFFFFF"/>
      <w:spacing w:after="120" w:line="0" w:lineRule="atLeast"/>
      <w:ind w:firstLine="39"/>
      <w:jc w:val="both"/>
    </w:pPr>
    <w:rPr>
      <w:sz w:val="18"/>
      <w:szCs w:val="18"/>
      <w:lang w:val="x-none" w:eastAsia="x-none"/>
    </w:rPr>
  </w:style>
  <w:style w:type="paragraph" w:customStyle="1" w:styleId="En-tte10">
    <w:name w:val="En-tête #1"/>
    <w:basedOn w:val="Normal"/>
    <w:link w:val="En-tte1"/>
    <w:rsid w:val="004E5DC6"/>
    <w:pPr>
      <w:widowControl w:val="0"/>
      <w:shd w:val="clear" w:color="auto" w:fill="FFFFFF"/>
      <w:spacing w:after="720" w:line="0" w:lineRule="atLeast"/>
      <w:ind w:firstLine="42"/>
      <w:outlineLvl w:val="0"/>
    </w:pPr>
    <w:rPr>
      <w:b/>
      <w:bCs/>
      <w:i/>
      <w:iCs/>
      <w:sz w:val="48"/>
      <w:szCs w:val="48"/>
      <w:lang w:val="x-none" w:eastAsia="x-none"/>
    </w:rPr>
  </w:style>
  <w:style w:type="paragraph" w:customStyle="1" w:styleId="En-tte20">
    <w:name w:val="En-tête #2"/>
    <w:basedOn w:val="Normal"/>
    <w:link w:val="En-tte2"/>
    <w:rsid w:val="004E5DC6"/>
    <w:pPr>
      <w:widowControl w:val="0"/>
      <w:shd w:val="clear" w:color="auto" w:fill="FFFFFF"/>
      <w:spacing w:before="120" w:after="120" w:line="0" w:lineRule="atLeast"/>
      <w:ind w:firstLine="29"/>
      <w:jc w:val="both"/>
      <w:outlineLvl w:val="1"/>
    </w:pPr>
    <w:rPr>
      <w:i/>
      <w:iCs/>
      <w:sz w:val="20"/>
      <w:lang w:val="x-none" w:eastAsia="x-none"/>
    </w:rPr>
  </w:style>
  <w:style w:type="character" w:customStyle="1" w:styleId="PieddepageCar">
    <w:name w:val="Pied de page Car"/>
    <w:link w:val="Pieddepage"/>
    <w:uiPriority w:val="99"/>
    <w:rsid w:val="004E5DC6"/>
    <w:rPr>
      <w:rFonts w:ascii="GillSans" w:eastAsia="Times New Roman" w:hAnsi="GillSans"/>
      <w:lang w:val="fr-CA" w:eastAsia="en-US"/>
    </w:rPr>
  </w:style>
  <w:style w:type="paragraph" w:customStyle="1" w:styleId="Lgendedelimage3">
    <w:name w:val="Légende de l'image (3)"/>
    <w:basedOn w:val="Normal"/>
    <w:link w:val="Lgendedelimage3Exact"/>
    <w:rsid w:val="004E5DC6"/>
    <w:pPr>
      <w:widowControl w:val="0"/>
      <w:shd w:val="clear" w:color="auto" w:fill="FFFFFF"/>
      <w:spacing w:line="0" w:lineRule="atLeast"/>
      <w:ind w:firstLine="137"/>
    </w:pPr>
    <w:rPr>
      <w:i/>
      <w:iCs/>
      <w:sz w:val="20"/>
      <w:lang w:val="x-none" w:eastAsia="x-none"/>
    </w:rPr>
  </w:style>
  <w:style w:type="character" w:customStyle="1" w:styleId="RetraitcorpsdetexteCar">
    <w:name w:val="Retrait corps de texte Car"/>
    <w:link w:val="Retraitcorpsdetexte"/>
    <w:rsid w:val="004E5DC6"/>
    <w:rPr>
      <w:rFonts w:ascii="Arial" w:eastAsia="Times New Roman" w:hAnsi="Arial"/>
      <w:sz w:val="28"/>
      <w:lang w:val="fr-CA" w:eastAsia="en-US"/>
    </w:rPr>
  </w:style>
  <w:style w:type="character" w:customStyle="1" w:styleId="Retraitcorpsdetexte2Car">
    <w:name w:val="Retrait corps de texte 2 Car"/>
    <w:link w:val="Retraitcorpsdetexte2"/>
    <w:rsid w:val="004E5DC6"/>
    <w:rPr>
      <w:rFonts w:ascii="Arial" w:eastAsia="Times New Roman" w:hAnsi="Arial"/>
      <w:sz w:val="28"/>
      <w:lang w:val="fr-CA" w:eastAsia="en-US"/>
    </w:rPr>
  </w:style>
  <w:style w:type="paragraph" w:customStyle="1" w:styleId="Lgendedutableau0">
    <w:name w:val="Légende du tableau"/>
    <w:basedOn w:val="Normal"/>
    <w:link w:val="Lgendedutableau"/>
    <w:rsid w:val="004E5DC6"/>
    <w:pPr>
      <w:widowControl w:val="0"/>
      <w:shd w:val="clear" w:color="auto" w:fill="FFFFFF"/>
      <w:spacing w:line="0" w:lineRule="atLeast"/>
      <w:ind w:firstLine="29"/>
    </w:pPr>
    <w:rPr>
      <w:sz w:val="14"/>
      <w:szCs w:val="14"/>
      <w:lang w:val="x-none" w:eastAsia="x-none"/>
    </w:rPr>
  </w:style>
  <w:style w:type="character" w:customStyle="1" w:styleId="Retraitcorpsdetexte3Car">
    <w:name w:val="Retrait corps de texte 3 Car"/>
    <w:link w:val="Retraitcorpsdetexte3"/>
    <w:rsid w:val="004E5DC6"/>
    <w:rPr>
      <w:rFonts w:ascii="Arial" w:eastAsia="Times New Roman" w:hAnsi="Arial"/>
      <w:sz w:val="28"/>
      <w:lang w:val="fr-CA" w:eastAsia="en-US"/>
    </w:rPr>
  </w:style>
  <w:style w:type="character" w:customStyle="1" w:styleId="TitreCar">
    <w:name w:val="Titre Car"/>
    <w:link w:val="Titre"/>
    <w:rsid w:val="004E5DC6"/>
    <w:rPr>
      <w:rFonts w:ascii="Times New Roman" w:eastAsia="Times New Roman" w:hAnsi="Times New Roman"/>
      <w:b/>
      <w:sz w:val="48"/>
      <w:lang w:val="fr-CA" w:eastAsia="en-US"/>
    </w:rPr>
  </w:style>
  <w:style w:type="character" w:customStyle="1" w:styleId="Titre1Car">
    <w:name w:val="Titre 1 Car"/>
    <w:link w:val="Titre1"/>
    <w:rsid w:val="004E5DC6"/>
    <w:rPr>
      <w:rFonts w:eastAsia="Times New Roman"/>
      <w:noProof/>
      <w:lang w:val="fr-CA" w:eastAsia="en-US" w:bidi="ar-SA"/>
    </w:rPr>
  </w:style>
  <w:style w:type="character" w:customStyle="1" w:styleId="Titre2Car">
    <w:name w:val="Titre 2 Car"/>
    <w:link w:val="Titre2"/>
    <w:rsid w:val="004E5DC6"/>
    <w:rPr>
      <w:rFonts w:eastAsia="Times New Roman"/>
      <w:noProof/>
      <w:lang w:val="fr-CA" w:eastAsia="en-US" w:bidi="ar-SA"/>
    </w:rPr>
  </w:style>
  <w:style w:type="character" w:customStyle="1" w:styleId="Titre3Car">
    <w:name w:val="Titre 3 Car"/>
    <w:link w:val="Titre3"/>
    <w:rsid w:val="004E5DC6"/>
    <w:rPr>
      <w:rFonts w:eastAsia="Times New Roman"/>
      <w:noProof/>
      <w:lang w:val="fr-CA" w:eastAsia="en-US" w:bidi="ar-SA"/>
    </w:rPr>
  </w:style>
  <w:style w:type="character" w:customStyle="1" w:styleId="Titre4Car">
    <w:name w:val="Titre 4 Car"/>
    <w:link w:val="Titre4"/>
    <w:rsid w:val="004E5DC6"/>
    <w:rPr>
      <w:rFonts w:eastAsia="Times New Roman"/>
      <w:noProof/>
      <w:lang w:val="fr-CA" w:eastAsia="en-US" w:bidi="ar-SA"/>
    </w:rPr>
  </w:style>
  <w:style w:type="character" w:customStyle="1" w:styleId="Titre5Car">
    <w:name w:val="Titre 5 Car"/>
    <w:link w:val="Titre5"/>
    <w:rsid w:val="004E5DC6"/>
    <w:rPr>
      <w:rFonts w:eastAsia="Times New Roman"/>
      <w:noProof/>
      <w:lang w:val="fr-CA" w:eastAsia="en-US" w:bidi="ar-SA"/>
    </w:rPr>
  </w:style>
  <w:style w:type="character" w:customStyle="1" w:styleId="Titre6Car">
    <w:name w:val="Titre 6 Car"/>
    <w:link w:val="Titre6"/>
    <w:rsid w:val="004E5DC6"/>
    <w:rPr>
      <w:rFonts w:eastAsia="Times New Roman"/>
      <w:noProof/>
      <w:lang w:val="fr-CA" w:eastAsia="en-US" w:bidi="ar-SA"/>
    </w:rPr>
  </w:style>
  <w:style w:type="character" w:customStyle="1" w:styleId="Titre7Car">
    <w:name w:val="Titre 7 Car"/>
    <w:link w:val="Titre7"/>
    <w:rsid w:val="004E5DC6"/>
    <w:rPr>
      <w:rFonts w:eastAsia="Times New Roman"/>
      <w:noProof/>
      <w:lang w:val="fr-CA" w:eastAsia="en-US" w:bidi="ar-SA"/>
    </w:rPr>
  </w:style>
  <w:style w:type="character" w:customStyle="1" w:styleId="Titre8Car">
    <w:name w:val="Titre 8 Car"/>
    <w:link w:val="Titre8"/>
    <w:rsid w:val="004E5DC6"/>
    <w:rPr>
      <w:rFonts w:eastAsia="Times New Roman"/>
      <w:noProof/>
      <w:lang w:val="fr-CA" w:eastAsia="en-US" w:bidi="ar-SA"/>
    </w:rPr>
  </w:style>
  <w:style w:type="character" w:customStyle="1" w:styleId="Titre9Car">
    <w:name w:val="Titre 9 Car"/>
    <w:link w:val="Titre9"/>
    <w:rsid w:val="004E5DC6"/>
    <w:rPr>
      <w:rFonts w:eastAsia="Times New Roman"/>
      <w:noProof/>
      <w:lang w:val="fr-CA" w:eastAsia="en-US" w:bidi="ar-SA"/>
    </w:rPr>
  </w:style>
  <w:style w:type="character" w:customStyle="1" w:styleId="Notedebasdepage2">
    <w:name w:val="Note de bas de page (2)_"/>
    <w:link w:val="Notedebasdepage20"/>
    <w:rsid w:val="00C05B58"/>
    <w:rPr>
      <w:rFonts w:ascii="Times New Roman" w:eastAsia="Times New Roman" w:hAnsi="Times New Roman"/>
      <w:sz w:val="18"/>
      <w:szCs w:val="18"/>
      <w:shd w:val="clear" w:color="auto" w:fill="FFFFFF"/>
    </w:rPr>
  </w:style>
  <w:style w:type="character" w:customStyle="1" w:styleId="Notedebasdepage3NonItalique">
    <w:name w:val="Note de bas de page (3) + Non Italique"/>
    <w:rsid w:val="00C05B5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2Italique">
    <w:name w:val="Note de bas de page (2) + Italique"/>
    <w:rsid w:val="00C05B58"/>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En-tte24ptNonItalique">
    <w:name w:val="En-tête #2 + 4 pt;Non Italique"/>
    <w:rsid w:val="00C05B5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Corpsdutexte89ptNonItalique">
    <w:name w:val="Corps du texte (8) + 9 pt;Non Italique"/>
    <w:rsid w:val="00C05B58"/>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19ptNonItalique">
    <w:name w:val="En-tête #1 + 9 pt;Non Italique"/>
    <w:rsid w:val="00C05B5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1718ptNonItaliqueEspacement0pt">
    <w:name w:val="Corps du texte (17) + 18 pt;Non Italique;Espacement 0 pt"/>
    <w:rsid w:val="00C05B58"/>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En-tte2Gras">
    <w:name w:val="En-tête #2 + Gras"/>
    <w:rsid w:val="00C05B5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En-tte22">
    <w:name w:val="En-tête #2 (2)_"/>
    <w:rsid w:val="00C05B58"/>
    <w:rPr>
      <w:rFonts w:ascii="Times New Roman" w:eastAsia="Times New Roman" w:hAnsi="Times New Roman" w:cs="Times New Roman"/>
      <w:b/>
      <w:bCs/>
      <w:i/>
      <w:iCs/>
      <w:smallCaps w:val="0"/>
      <w:strike w:val="0"/>
      <w:sz w:val="24"/>
      <w:szCs w:val="24"/>
      <w:u w:val="none"/>
    </w:rPr>
  </w:style>
  <w:style w:type="character" w:customStyle="1" w:styleId="En-tteoupieddepage85pt">
    <w:name w:val="En-tête ou pied de page + 8.5 pt"/>
    <w:rsid w:val="00C05B5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19ptNonGras">
    <w:name w:val="Corps du texte (11) + 9 pt;Non Gras"/>
    <w:rsid w:val="00C05B58"/>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En-tteoupieddepage7">
    <w:name w:val="En-tête ou pied de page (7)"/>
    <w:rsid w:val="00C05B58"/>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En-tteoupieddepage7ptNonItalique">
    <w:name w:val="En-tête ou pied de page + 7 pt;Non Italique"/>
    <w:rsid w:val="00C05B58"/>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oupieddepage75pt">
    <w:name w:val="En-tête ou pied de page + 7.5 pt"/>
    <w:rsid w:val="00C05B58"/>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220">
    <w:name w:val="En-tête #2 (2)"/>
    <w:rsid w:val="00C05B58"/>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2912ptNonItaliqueEspacement0pt">
    <w:name w:val="Corps du texte (29) + 12 pt;Non Italique;Espacement 0 pt"/>
    <w:rsid w:val="00C05B58"/>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2915ptEspacement0pt">
    <w:name w:val="Corps du texte (29) + 15 pt;Espacement 0 pt"/>
    <w:rsid w:val="00C05B58"/>
    <w:rPr>
      <w:rFonts w:ascii="Times New Roman" w:eastAsia="Times New Roman" w:hAnsi="Times New Roman" w:cs="Times New Roman"/>
      <w:b w:val="0"/>
      <w:bCs w:val="0"/>
      <w:i/>
      <w:iCs/>
      <w:smallCaps w:val="0"/>
      <w:strike w:val="0"/>
      <w:color w:val="000000"/>
      <w:spacing w:val="0"/>
      <w:w w:val="100"/>
      <w:position w:val="0"/>
      <w:sz w:val="30"/>
      <w:szCs w:val="30"/>
      <w:u w:val="none"/>
      <w:lang w:val="fr-FR" w:eastAsia="fr-FR" w:bidi="fr-FR"/>
    </w:rPr>
  </w:style>
  <w:style w:type="paragraph" w:customStyle="1" w:styleId="Notedebasdepage20">
    <w:name w:val="Note de bas de page (2)"/>
    <w:basedOn w:val="Normal"/>
    <w:link w:val="Notedebasdepage2"/>
    <w:rsid w:val="00C05B58"/>
    <w:pPr>
      <w:widowControl w:val="0"/>
      <w:shd w:val="clear" w:color="auto" w:fill="FFFFFF"/>
      <w:spacing w:after="60" w:line="198" w:lineRule="exact"/>
      <w:ind w:firstLine="754"/>
      <w:jc w:val="both"/>
    </w:pPr>
    <w:rPr>
      <w:sz w:val="18"/>
      <w:szCs w:val="18"/>
      <w:lang w:val="x-none" w:eastAsia="x-none"/>
    </w:rPr>
  </w:style>
  <w:style w:type="character" w:customStyle="1" w:styleId="Corpsdutexte27ptItalique">
    <w:name w:val="Corps du texte (2) + 7 pt;Italique"/>
    <w:rsid w:val="00D1642A"/>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4">
    <w:name w:val="En-tête #4_"/>
    <w:link w:val="En-tte40"/>
    <w:rsid w:val="00D1642A"/>
    <w:rPr>
      <w:rFonts w:ascii="Times New Roman" w:eastAsia="Times New Roman" w:hAnsi="Times New Roman"/>
      <w:i/>
      <w:iCs/>
      <w:shd w:val="clear" w:color="auto" w:fill="FFFFFF"/>
    </w:rPr>
  </w:style>
  <w:style w:type="character" w:customStyle="1" w:styleId="En-tteoupieddepageNonItalique">
    <w:name w:val="En-tête ou pied de page + Non Italique"/>
    <w:rsid w:val="00D1642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9AppleGothic105ptItalique">
    <w:name w:val="Corps du texte (9) + AppleGothic;10.5 pt;Italique"/>
    <w:rsid w:val="00D1642A"/>
    <w:rPr>
      <w:rFonts w:ascii="AppleGothic" w:eastAsia="AppleGothic" w:hAnsi="AppleGothic" w:cs="AppleGothic"/>
      <w:b w:val="0"/>
      <w:bCs w:val="0"/>
      <w:i/>
      <w:iCs/>
      <w:smallCaps w:val="0"/>
      <w:strike w:val="0"/>
      <w:color w:val="000000"/>
      <w:spacing w:val="0"/>
      <w:w w:val="100"/>
      <w:position w:val="0"/>
      <w:sz w:val="21"/>
      <w:szCs w:val="21"/>
      <w:u w:val="none"/>
      <w:lang w:val="fr-FR" w:eastAsia="fr-FR" w:bidi="fr-FR"/>
    </w:rPr>
  </w:style>
  <w:style w:type="character" w:customStyle="1" w:styleId="Corpsdutexte912ptGrasItalique">
    <w:name w:val="Corps du texte (9) + 12 pt;Gras;Italique"/>
    <w:rsid w:val="00D1642A"/>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1514ptGrasNonItalique">
    <w:name w:val="Corps du texte (15) + 14 pt;Gras;Non Italique"/>
    <w:rsid w:val="00D1642A"/>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2NonGras">
    <w:name w:val="En-tête #2 + Non Gras"/>
    <w:rsid w:val="00D1642A"/>
    <w:rPr>
      <w:rFonts w:ascii="Times New Roman" w:eastAsia="Times New Roman" w:hAnsi="Times New Roman" w:cs="Times New Roman"/>
      <w:b/>
      <w:bCs/>
      <w:i w:val="0"/>
      <w:iCs w:val="0"/>
      <w:smallCaps w:val="0"/>
      <w:strike w:val="0"/>
      <w:color w:val="000000"/>
      <w:spacing w:val="0"/>
      <w:w w:val="100"/>
      <w:position w:val="0"/>
      <w:sz w:val="48"/>
      <w:szCs w:val="48"/>
      <w:u w:val="none"/>
      <w:shd w:val="clear" w:color="auto" w:fill="FFFFFF"/>
      <w:lang w:val="fr-FR" w:eastAsia="fr-FR" w:bidi="fr-FR"/>
    </w:rPr>
  </w:style>
  <w:style w:type="character" w:customStyle="1" w:styleId="En-tteoupieddepageNonItaliqueEspacement1pt">
    <w:name w:val="En-tête ou pied de page + Non Italique;Espacement 1 pt"/>
    <w:rsid w:val="00D1642A"/>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En-tte410ptNonItaliqueEspacement3pt">
    <w:name w:val="En-tête #4 + 10 pt;Non Italique;Espacement 3 pt"/>
    <w:rsid w:val="00D1642A"/>
    <w:rPr>
      <w:rFonts w:ascii="Times New Roman" w:eastAsia="Times New Roman" w:hAnsi="Times New Roman"/>
      <w:i/>
      <w:iCs/>
      <w:color w:val="000000"/>
      <w:spacing w:val="60"/>
      <w:w w:val="100"/>
      <w:position w:val="0"/>
      <w:sz w:val="20"/>
      <w:szCs w:val="20"/>
      <w:shd w:val="clear" w:color="auto" w:fill="FFFFFF"/>
      <w:lang w:val="fr-FR" w:eastAsia="fr-FR" w:bidi="fr-FR"/>
    </w:rPr>
  </w:style>
  <w:style w:type="character" w:customStyle="1" w:styleId="Corpsdutexte210ptItalique">
    <w:name w:val="Corps du texte (2) + 10 pt;Italique"/>
    <w:rsid w:val="00D1642A"/>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ptGras">
    <w:name w:val="Corps du texte (2) + 8.5 pt;Gras"/>
    <w:rsid w:val="00D1642A"/>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En-tte3">
    <w:name w:val="En-tête #3_"/>
    <w:link w:val="En-tte30"/>
    <w:rsid w:val="00D1642A"/>
    <w:rPr>
      <w:rFonts w:ascii="Times New Roman" w:eastAsia="Times New Roman" w:hAnsi="Times New Roman"/>
      <w:i/>
      <w:iCs/>
      <w:sz w:val="18"/>
      <w:szCs w:val="18"/>
      <w:shd w:val="clear" w:color="auto" w:fill="FFFFFF"/>
    </w:rPr>
  </w:style>
  <w:style w:type="character" w:customStyle="1" w:styleId="En-tte32">
    <w:name w:val="En-tête #3 (2)_"/>
    <w:link w:val="En-tte320"/>
    <w:rsid w:val="00D1642A"/>
    <w:rPr>
      <w:rFonts w:ascii="Times New Roman" w:eastAsia="Times New Roman" w:hAnsi="Times New Roman"/>
      <w:i/>
      <w:iCs/>
      <w:shd w:val="clear" w:color="auto" w:fill="FFFFFF"/>
    </w:rPr>
  </w:style>
  <w:style w:type="character" w:customStyle="1" w:styleId="En-tteoupieddepage85ptEspacement0pt">
    <w:name w:val="En-tête ou pied de page + 8.5 pt;Espacement 0 pt"/>
    <w:rsid w:val="00D1642A"/>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32Espacement2pt">
    <w:name w:val="En-tête #3 (2) + Espacement 2 pt"/>
    <w:rsid w:val="00D1642A"/>
    <w:rPr>
      <w:rFonts w:ascii="Times New Roman" w:eastAsia="Times New Roman" w:hAnsi="Times New Roman"/>
      <w:i/>
      <w:iCs/>
      <w:color w:val="000000"/>
      <w:spacing w:val="40"/>
      <w:w w:val="100"/>
      <w:position w:val="0"/>
      <w:sz w:val="24"/>
      <w:szCs w:val="24"/>
      <w:shd w:val="clear" w:color="auto" w:fill="FFFFFF"/>
      <w:lang w:val="fr-FR" w:eastAsia="fr-FR" w:bidi="fr-FR"/>
    </w:rPr>
  </w:style>
  <w:style w:type="character" w:customStyle="1" w:styleId="Corpsdutexte2GrasEspacement0pt">
    <w:name w:val="Corps du texte (2) + Gras;Espacement 0 pt"/>
    <w:rsid w:val="00D1642A"/>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214ptGras">
    <w:name w:val="Corps du texte (2) + 14 pt;Gras"/>
    <w:rsid w:val="00D1642A"/>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Corpsdutexte2ItaliqueEspacement1pt">
    <w:name w:val="Corps du texte (2) + Italique;Espacement 1 pt"/>
    <w:rsid w:val="00D1642A"/>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TabledesmatiresItaliqueEspacement1pt">
    <w:name w:val="Table des matières + Italique;Espacement 1 pt"/>
    <w:rsid w:val="00D1642A"/>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fr-FR" w:eastAsia="fr-FR" w:bidi="fr-FR"/>
    </w:rPr>
  </w:style>
  <w:style w:type="character" w:customStyle="1" w:styleId="Corpsdutexte18ItaliqueEspacement1pt">
    <w:name w:val="Corps du texte (18) + Italique;Espacement 1 pt"/>
    <w:rsid w:val="00D1642A"/>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En-tte42">
    <w:name w:val="En-tête #4 (2)_"/>
    <w:link w:val="En-tte420"/>
    <w:rsid w:val="00D1642A"/>
    <w:rPr>
      <w:rFonts w:ascii="Times New Roman" w:eastAsia="Times New Roman" w:hAnsi="Times New Roman"/>
      <w:i/>
      <w:iCs/>
      <w:shd w:val="clear" w:color="auto" w:fill="FFFFFF"/>
    </w:rPr>
  </w:style>
  <w:style w:type="paragraph" w:customStyle="1" w:styleId="En-tte40">
    <w:name w:val="En-tête #4"/>
    <w:basedOn w:val="Normal"/>
    <w:link w:val="En-tte4"/>
    <w:rsid w:val="00D1642A"/>
    <w:pPr>
      <w:widowControl w:val="0"/>
      <w:shd w:val="clear" w:color="auto" w:fill="FFFFFF"/>
      <w:spacing w:before="120" w:after="120" w:line="0" w:lineRule="atLeast"/>
      <w:ind w:hanging="6"/>
      <w:jc w:val="both"/>
      <w:outlineLvl w:val="3"/>
    </w:pPr>
    <w:rPr>
      <w:i/>
      <w:iCs/>
      <w:sz w:val="20"/>
      <w:lang w:val="x-none" w:eastAsia="x-none"/>
    </w:rPr>
  </w:style>
  <w:style w:type="paragraph" w:customStyle="1" w:styleId="En-tte30">
    <w:name w:val="En-tête #3"/>
    <w:basedOn w:val="Normal"/>
    <w:link w:val="En-tte3"/>
    <w:rsid w:val="00D1642A"/>
    <w:pPr>
      <w:widowControl w:val="0"/>
      <w:shd w:val="clear" w:color="auto" w:fill="FFFFFF"/>
      <w:spacing w:after="960" w:line="0" w:lineRule="atLeast"/>
      <w:ind w:hanging="1"/>
      <w:outlineLvl w:val="2"/>
    </w:pPr>
    <w:rPr>
      <w:i/>
      <w:iCs/>
      <w:sz w:val="18"/>
      <w:szCs w:val="18"/>
      <w:lang w:val="x-none" w:eastAsia="x-none"/>
    </w:rPr>
  </w:style>
  <w:style w:type="paragraph" w:customStyle="1" w:styleId="En-tte320">
    <w:name w:val="En-tête #3 (2)"/>
    <w:basedOn w:val="Normal"/>
    <w:link w:val="En-tte32"/>
    <w:rsid w:val="00D1642A"/>
    <w:pPr>
      <w:widowControl w:val="0"/>
      <w:shd w:val="clear" w:color="auto" w:fill="FFFFFF"/>
      <w:spacing w:before="540" w:after="180" w:line="0" w:lineRule="atLeast"/>
      <w:ind w:hanging="6"/>
      <w:outlineLvl w:val="2"/>
    </w:pPr>
    <w:rPr>
      <w:i/>
      <w:iCs/>
      <w:sz w:val="20"/>
      <w:lang w:val="x-none" w:eastAsia="x-none"/>
    </w:rPr>
  </w:style>
  <w:style w:type="paragraph" w:customStyle="1" w:styleId="En-tte420">
    <w:name w:val="En-tête #4 (2)"/>
    <w:basedOn w:val="Normal"/>
    <w:link w:val="En-tte42"/>
    <w:rsid w:val="00D1642A"/>
    <w:pPr>
      <w:widowControl w:val="0"/>
      <w:shd w:val="clear" w:color="auto" w:fill="FFFFFF"/>
      <w:spacing w:before="780" w:after="60" w:line="0" w:lineRule="atLeast"/>
      <w:ind w:hanging="713"/>
      <w:jc w:val="both"/>
      <w:outlineLvl w:val="3"/>
    </w:pPr>
    <w:rPr>
      <w:i/>
      <w:iCs/>
      <w:sz w:val="20"/>
      <w:lang w:val="x-none" w:eastAsia="x-none"/>
    </w:rPr>
  </w:style>
  <w:style w:type="paragraph" w:customStyle="1" w:styleId="planchest1">
    <w:name w:val="planche_st 1"/>
    <w:basedOn w:val="planchest"/>
    <w:rsid w:val="002343CA"/>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marcel.fournier@umontreal.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vidricaire.andre@uqam.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3410</Words>
  <Characters>19335</Characters>
  <Application>Microsoft Office Word</Application>
  <DocSecurity>0</DocSecurity>
  <Lines>439</Lines>
  <Paragraphs>68</Paragraphs>
  <ScaleCrop>false</ScaleCrop>
  <HeadingPairs>
    <vt:vector size="2" baseType="variant">
      <vt:variant>
        <vt:lpstr>Title</vt:lpstr>
      </vt:variant>
      <vt:variant>
        <vt:i4>1</vt:i4>
      </vt:variant>
    </vt:vector>
  </HeadingPairs>
  <TitlesOfParts>
    <vt:vector size="1" baseType="lpstr">
      <vt:lpstr>“Structures universitaires et pratiques syndicales à l’Université de Montréal.”</vt:lpstr>
    </vt:vector>
  </TitlesOfParts>
  <Manager>Jean marie Tremblay, sociologue, bénévole, 2021</Manager>
  <Company>Les Classiques des sciences sociales</Company>
  <LinksUpToDate>false</LinksUpToDate>
  <CharactersWithSpaces>22677</CharactersWithSpaces>
  <SharedDoc>false</SharedDoc>
  <HyperlinkBase/>
  <HLinks>
    <vt:vector size="72" baseType="variant">
      <vt:variant>
        <vt:i4>3407907</vt:i4>
      </vt:variant>
      <vt:variant>
        <vt:i4>18</vt:i4>
      </vt:variant>
      <vt:variant>
        <vt:i4>0</vt:i4>
      </vt:variant>
      <vt:variant>
        <vt:i4>5</vt:i4>
      </vt:variant>
      <vt:variant>
        <vt:lpwstr>mailto:marcel.fournier@umontreal.ca</vt:lpwstr>
      </vt:variant>
      <vt:variant>
        <vt:lpwstr/>
      </vt:variant>
      <vt:variant>
        <vt:i4>458757</vt:i4>
      </vt:variant>
      <vt:variant>
        <vt:i4>15</vt:i4>
      </vt:variant>
      <vt:variant>
        <vt:i4>0</vt:i4>
      </vt:variant>
      <vt:variant>
        <vt:i4>5</vt:i4>
      </vt:variant>
      <vt:variant>
        <vt:lpwstr>mailto:vidricaire.andre@uqam.ca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2371</vt:i4>
      </vt:variant>
      <vt:variant>
        <vt:i4>1025</vt:i4>
      </vt:variant>
      <vt:variant>
        <vt:i4>1</vt:i4>
      </vt:variant>
      <vt:variant>
        <vt:lpwstr>css_logo_gris</vt:lpwstr>
      </vt:variant>
      <vt:variant>
        <vt:lpwstr/>
      </vt:variant>
      <vt:variant>
        <vt:i4>5111880</vt:i4>
      </vt:variant>
      <vt:variant>
        <vt:i4>2660</vt:i4>
      </vt:variant>
      <vt:variant>
        <vt:i4>1026</vt:i4>
      </vt:variant>
      <vt:variant>
        <vt:i4>1</vt:i4>
      </vt:variant>
      <vt:variant>
        <vt:lpwstr>UQAC_logo_2018</vt:lpwstr>
      </vt:variant>
      <vt:variant>
        <vt:lpwstr/>
      </vt:variant>
      <vt:variant>
        <vt:i4>4194334</vt:i4>
      </vt:variant>
      <vt:variant>
        <vt:i4>4842</vt:i4>
      </vt:variant>
      <vt:variant>
        <vt:i4>1027</vt:i4>
      </vt:variant>
      <vt:variant>
        <vt:i4>1</vt:i4>
      </vt:variant>
      <vt:variant>
        <vt:lpwstr>Boite_aux_lettres_clair</vt:lpwstr>
      </vt:variant>
      <vt:variant>
        <vt:lpwstr/>
      </vt:variant>
      <vt:variant>
        <vt:i4>1703963</vt:i4>
      </vt:variant>
      <vt:variant>
        <vt:i4>5411</vt:i4>
      </vt:variant>
      <vt:variant>
        <vt:i4>1028</vt:i4>
      </vt:variant>
      <vt:variant>
        <vt:i4>1</vt:i4>
      </vt:variant>
      <vt:variant>
        <vt:lpwstr>fait_sur_mac</vt:lpwstr>
      </vt:variant>
      <vt:variant>
        <vt:lpwstr/>
      </vt:variant>
      <vt:variant>
        <vt:i4>2097198</vt:i4>
      </vt:variant>
      <vt:variant>
        <vt:i4>5575</vt:i4>
      </vt:variant>
      <vt:variant>
        <vt:i4>1029</vt:i4>
      </vt:variant>
      <vt:variant>
        <vt:i4>1</vt:i4>
      </vt:variant>
      <vt:variant>
        <vt:lpwstr>Syndicalisme_universitaire_et_Etat_L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“Structures universitaires et pratiques syndicales à l’Université de Montréal.”</dc:title>
  <dc:subject/>
  <dc:creator>par Marcel Fournier, sociologue, 1977</dc:creator>
  <cp:keywords>classiques.sc.soc@gmail.com</cp:keywords>
  <dc:description>http://classiques.uqac.ca/</dc:description>
  <cp:lastModifiedBy>Microsoft Office User</cp:lastModifiedBy>
  <cp:revision>2</cp:revision>
  <cp:lastPrinted>2001-08-26T19:33:00Z</cp:lastPrinted>
  <dcterms:created xsi:type="dcterms:W3CDTF">2021-05-07T12:53:00Z</dcterms:created>
  <dcterms:modified xsi:type="dcterms:W3CDTF">2021-05-07T12:53:00Z</dcterms:modified>
  <cp:category>jean-marie tremblay, sociologue, fondateur, 1993.</cp:category>
</cp:coreProperties>
</file>