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F3214B" w14:paraId="0DBEFFAE" w14:textId="77777777">
        <w:tblPrEx>
          <w:tblCellMar>
            <w:top w:w="0" w:type="dxa"/>
            <w:bottom w:w="0" w:type="dxa"/>
          </w:tblCellMar>
        </w:tblPrEx>
        <w:tc>
          <w:tcPr>
            <w:tcW w:w="9160" w:type="dxa"/>
            <w:shd w:val="clear" w:color="auto" w:fill="EEECE1"/>
          </w:tcPr>
          <w:p w14:paraId="3533C886" w14:textId="77777777" w:rsidR="00F3214B" w:rsidRPr="00B552E2" w:rsidRDefault="00F3214B" w:rsidP="00F3214B">
            <w:pPr>
              <w:pStyle w:val="En-tte"/>
              <w:tabs>
                <w:tab w:val="clear" w:pos="4320"/>
                <w:tab w:val="clear" w:pos="8640"/>
              </w:tabs>
              <w:rPr>
                <w:lang w:val="en-CA" w:bidi="ar-SA"/>
              </w:rPr>
            </w:pPr>
          </w:p>
          <w:p w14:paraId="1EA0976C" w14:textId="77777777" w:rsidR="00F3214B" w:rsidRDefault="00F3214B">
            <w:pPr>
              <w:ind w:firstLine="0"/>
              <w:jc w:val="center"/>
              <w:rPr>
                <w:b/>
                <w:sz w:val="20"/>
                <w:lang w:bidi="ar-SA"/>
              </w:rPr>
            </w:pPr>
          </w:p>
          <w:p w14:paraId="11DDBC71" w14:textId="77777777" w:rsidR="00F3214B" w:rsidRDefault="00F3214B">
            <w:pPr>
              <w:ind w:firstLine="0"/>
              <w:jc w:val="center"/>
              <w:rPr>
                <w:b/>
                <w:sz w:val="20"/>
                <w:lang w:bidi="ar-SA"/>
              </w:rPr>
            </w:pPr>
          </w:p>
          <w:p w14:paraId="0292E2FE" w14:textId="77777777" w:rsidR="00F3214B" w:rsidRDefault="00F3214B">
            <w:pPr>
              <w:ind w:firstLine="0"/>
              <w:jc w:val="center"/>
              <w:rPr>
                <w:b/>
                <w:sz w:val="20"/>
                <w:lang w:bidi="ar-SA"/>
              </w:rPr>
            </w:pPr>
          </w:p>
          <w:p w14:paraId="581AD6A1" w14:textId="77777777" w:rsidR="00F3214B" w:rsidRDefault="00F3214B" w:rsidP="00F3214B">
            <w:pPr>
              <w:ind w:firstLine="0"/>
              <w:jc w:val="center"/>
              <w:rPr>
                <w:b/>
                <w:sz w:val="36"/>
              </w:rPr>
            </w:pPr>
            <w:r>
              <w:rPr>
                <w:sz w:val="36"/>
              </w:rPr>
              <w:t>Nina VEILLARD et Pierre CABROL</w:t>
            </w:r>
          </w:p>
          <w:p w14:paraId="18A8CCB6" w14:textId="77777777" w:rsidR="00F3214B" w:rsidRPr="00D966C7" w:rsidRDefault="00F3214B" w:rsidP="00F3214B">
            <w:pPr>
              <w:ind w:firstLine="0"/>
              <w:jc w:val="center"/>
              <w:rPr>
                <w:sz w:val="24"/>
              </w:rPr>
            </w:pPr>
            <w:r>
              <w:rPr>
                <w:sz w:val="24"/>
              </w:rPr>
              <w:t>Respectivement étudiante, d’une part,</w:t>
            </w:r>
            <w:r>
              <w:rPr>
                <w:sz w:val="24"/>
              </w:rPr>
              <w:br/>
              <w:t xml:space="preserve">et </w:t>
            </w:r>
            <w:r w:rsidRPr="00D966C7">
              <w:rPr>
                <w:sz w:val="24"/>
              </w:rPr>
              <w:t>Maître de conférences de Droit privé</w:t>
            </w:r>
            <w:r>
              <w:rPr>
                <w:sz w:val="24"/>
              </w:rPr>
              <w:br/>
            </w:r>
            <w:r w:rsidRPr="00D966C7">
              <w:rPr>
                <w:sz w:val="24"/>
              </w:rPr>
              <w:t>à l’IUT Michel de Montaigne Bo</w:t>
            </w:r>
            <w:r w:rsidRPr="00D966C7">
              <w:rPr>
                <w:sz w:val="24"/>
              </w:rPr>
              <w:t>r</w:t>
            </w:r>
            <w:r w:rsidRPr="00D966C7">
              <w:rPr>
                <w:sz w:val="24"/>
              </w:rPr>
              <w:t>deaux 3 (France)</w:t>
            </w:r>
            <w:r>
              <w:rPr>
                <w:sz w:val="24"/>
              </w:rPr>
              <w:t>, d’autre part.</w:t>
            </w:r>
          </w:p>
          <w:p w14:paraId="1EC23404" w14:textId="77777777" w:rsidR="00F3214B" w:rsidRPr="001E7979" w:rsidRDefault="00F3214B" w:rsidP="00F3214B">
            <w:pPr>
              <w:ind w:firstLine="0"/>
              <w:jc w:val="center"/>
              <w:rPr>
                <w:sz w:val="20"/>
                <w:lang w:bidi="ar-SA"/>
              </w:rPr>
            </w:pPr>
          </w:p>
          <w:p w14:paraId="1B524563" w14:textId="77777777" w:rsidR="00F3214B" w:rsidRPr="008A2AD1" w:rsidRDefault="00F3214B" w:rsidP="00F3214B">
            <w:pPr>
              <w:ind w:firstLine="0"/>
              <w:jc w:val="center"/>
              <w:rPr>
                <w:sz w:val="36"/>
                <w:lang w:bidi="ar-SA"/>
              </w:rPr>
            </w:pPr>
            <w:r w:rsidRPr="008A2AD1">
              <w:rPr>
                <w:sz w:val="36"/>
                <w:lang w:bidi="ar-SA"/>
              </w:rPr>
              <w:t>(202</w:t>
            </w:r>
            <w:r>
              <w:rPr>
                <w:sz w:val="36"/>
                <w:lang w:bidi="ar-SA"/>
              </w:rPr>
              <w:t>2</w:t>
            </w:r>
            <w:r w:rsidRPr="008A2AD1">
              <w:rPr>
                <w:sz w:val="36"/>
                <w:lang w:bidi="ar-SA"/>
              </w:rPr>
              <w:t>)</w:t>
            </w:r>
          </w:p>
          <w:p w14:paraId="3E3CA8D4" w14:textId="77777777" w:rsidR="00F3214B" w:rsidRPr="008A2AD1" w:rsidRDefault="00F3214B" w:rsidP="00F3214B">
            <w:pPr>
              <w:ind w:firstLine="0"/>
              <w:jc w:val="center"/>
              <w:rPr>
                <w:lang w:bidi="ar-SA"/>
              </w:rPr>
            </w:pPr>
          </w:p>
          <w:p w14:paraId="382599E5" w14:textId="77777777" w:rsidR="00F3214B" w:rsidRDefault="00F3214B">
            <w:pPr>
              <w:pStyle w:val="Corpsdetexte"/>
              <w:widowControl w:val="0"/>
              <w:spacing w:before="0" w:after="0"/>
              <w:rPr>
                <w:color w:val="FF0000"/>
                <w:sz w:val="24"/>
                <w:lang w:bidi="ar-SA"/>
              </w:rPr>
            </w:pPr>
          </w:p>
          <w:p w14:paraId="158DA79B" w14:textId="77777777" w:rsidR="00F3214B" w:rsidRDefault="00F3214B">
            <w:pPr>
              <w:pStyle w:val="Corpsdetexte"/>
              <w:widowControl w:val="0"/>
              <w:spacing w:before="0" w:after="0"/>
              <w:rPr>
                <w:color w:val="FF0000"/>
                <w:sz w:val="24"/>
                <w:lang w:bidi="ar-SA"/>
              </w:rPr>
            </w:pPr>
          </w:p>
          <w:p w14:paraId="7663AEBC" w14:textId="77777777" w:rsidR="00F3214B" w:rsidRPr="001E3A35" w:rsidRDefault="00F3214B" w:rsidP="00F3214B">
            <w:pPr>
              <w:pStyle w:val="Titlest"/>
              <w:rPr>
                <w:lang w:bidi="ar-SA"/>
              </w:rPr>
            </w:pPr>
            <w:r w:rsidRPr="001E3A35">
              <w:rPr>
                <w:lang w:bidi="ar-SA"/>
              </w:rPr>
              <w:t>“Harcèlement de rue :</w:t>
            </w:r>
            <w:r w:rsidRPr="001E3A35">
              <w:rPr>
                <w:lang w:bidi="ar-SA"/>
              </w:rPr>
              <w:br/>
              <w:t>l’inefficacité d’une réponse</w:t>
            </w:r>
            <w:r w:rsidRPr="001E3A35">
              <w:rPr>
                <w:lang w:bidi="ar-SA"/>
              </w:rPr>
              <w:br/>
              <w:t>purement répressive.”</w:t>
            </w:r>
          </w:p>
          <w:p w14:paraId="693362CC" w14:textId="77777777" w:rsidR="00F3214B" w:rsidRDefault="00F3214B">
            <w:pPr>
              <w:widowControl w:val="0"/>
              <w:ind w:firstLine="0"/>
              <w:jc w:val="center"/>
              <w:rPr>
                <w:lang w:bidi="ar-SA"/>
              </w:rPr>
            </w:pPr>
          </w:p>
          <w:p w14:paraId="736219BA" w14:textId="77777777" w:rsidR="00F3214B" w:rsidRDefault="00F3214B" w:rsidP="00F3214B">
            <w:pPr>
              <w:widowControl w:val="0"/>
              <w:ind w:firstLine="0"/>
              <w:jc w:val="center"/>
              <w:rPr>
                <w:lang w:bidi="ar-SA"/>
              </w:rPr>
            </w:pPr>
          </w:p>
          <w:p w14:paraId="1581EACF" w14:textId="77777777" w:rsidR="00F3214B" w:rsidRDefault="00F3214B" w:rsidP="00F3214B">
            <w:pPr>
              <w:widowControl w:val="0"/>
              <w:ind w:firstLine="0"/>
              <w:jc w:val="center"/>
              <w:rPr>
                <w:lang w:bidi="ar-SA"/>
              </w:rPr>
            </w:pPr>
          </w:p>
          <w:p w14:paraId="3419D2F4" w14:textId="77777777" w:rsidR="00F3214B" w:rsidRDefault="00F3214B" w:rsidP="00F3214B">
            <w:pPr>
              <w:widowControl w:val="0"/>
              <w:ind w:firstLine="0"/>
              <w:jc w:val="center"/>
              <w:rPr>
                <w:lang w:bidi="ar-SA"/>
              </w:rPr>
            </w:pPr>
          </w:p>
          <w:p w14:paraId="5DBEA69E" w14:textId="77777777" w:rsidR="00F3214B" w:rsidRDefault="00F3214B" w:rsidP="00F3214B">
            <w:pPr>
              <w:widowControl w:val="0"/>
              <w:ind w:firstLine="0"/>
              <w:jc w:val="center"/>
              <w:rPr>
                <w:sz w:val="20"/>
                <w:lang w:bidi="ar-SA"/>
              </w:rPr>
            </w:pPr>
          </w:p>
          <w:p w14:paraId="760ADC47" w14:textId="77777777" w:rsidR="00F3214B" w:rsidRPr="00384B20" w:rsidRDefault="00F3214B" w:rsidP="00F3214B">
            <w:pPr>
              <w:widowControl w:val="0"/>
              <w:ind w:firstLine="0"/>
              <w:jc w:val="center"/>
              <w:rPr>
                <w:sz w:val="20"/>
                <w:lang w:bidi="ar-SA"/>
              </w:rPr>
            </w:pPr>
          </w:p>
          <w:p w14:paraId="19B18AAE" w14:textId="77777777" w:rsidR="00F3214B" w:rsidRPr="00384B20" w:rsidRDefault="00F3214B" w:rsidP="00F3214B">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4B21E47E" w14:textId="77777777" w:rsidR="00F3214B" w:rsidRPr="00E07116" w:rsidRDefault="00F3214B" w:rsidP="00F3214B">
            <w:pPr>
              <w:widowControl w:val="0"/>
              <w:ind w:firstLine="0"/>
              <w:jc w:val="both"/>
              <w:rPr>
                <w:lang w:bidi="ar-SA"/>
              </w:rPr>
            </w:pPr>
          </w:p>
          <w:p w14:paraId="6E4780D9" w14:textId="77777777" w:rsidR="00F3214B" w:rsidRDefault="00F3214B" w:rsidP="00F3214B">
            <w:pPr>
              <w:widowControl w:val="0"/>
              <w:ind w:firstLine="0"/>
              <w:jc w:val="both"/>
              <w:rPr>
                <w:lang w:bidi="ar-SA"/>
              </w:rPr>
            </w:pPr>
          </w:p>
          <w:p w14:paraId="4827052F" w14:textId="77777777" w:rsidR="00F3214B" w:rsidRDefault="00F3214B" w:rsidP="00F3214B">
            <w:pPr>
              <w:widowControl w:val="0"/>
              <w:ind w:firstLine="0"/>
              <w:jc w:val="both"/>
              <w:rPr>
                <w:lang w:bidi="ar-SA"/>
              </w:rPr>
            </w:pPr>
          </w:p>
          <w:p w14:paraId="1BFEBBC3" w14:textId="77777777" w:rsidR="00F3214B" w:rsidRDefault="00F3214B" w:rsidP="00F3214B">
            <w:pPr>
              <w:widowControl w:val="0"/>
              <w:ind w:firstLine="0"/>
              <w:jc w:val="both"/>
              <w:rPr>
                <w:lang w:bidi="ar-SA"/>
              </w:rPr>
            </w:pPr>
          </w:p>
          <w:p w14:paraId="1675D998" w14:textId="77777777" w:rsidR="00F3214B" w:rsidRPr="00E07116" w:rsidRDefault="00F3214B" w:rsidP="00F3214B">
            <w:pPr>
              <w:widowControl w:val="0"/>
              <w:ind w:firstLine="0"/>
              <w:jc w:val="both"/>
              <w:rPr>
                <w:lang w:bidi="ar-SA"/>
              </w:rPr>
            </w:pPr>
          </w:p>
          <w:p w14:paraId="42296713" w14:textId="77777777" w:rsidR="00F3214B" w:rsidRDefault="00F3214B">
            <w:pPr>
              <w:widowControl w:val="0"/>
              <w:ind w:firstLine="0"/>
              <w:jc w:val="both"/>
              <w:rPr>
                <w:sz w:val="20"/>
                <w:lang w:bidi="ar-SA"/>
              </w:rPr>
            </w:pPr>
          </w:p>
          <w:p w14:paraId="496408FC" w14:textId="77777777" w:rsidR="00F3214B" w:rsidRDefault="00F3214B">
            <w:pPr>
              <w:widowControl w:val="0"/>
              <w:ind w:firstLine="0"/>
              <w:jc w:val="both"/>
              <w:rPr>
                <w:sz w:val="20"/>
                <w:lang w:bidi="ar-SA"/>
              </w:rPr>
            </w:pPr>
          </w:p>
          <w:p w14:paraId="1DB99785" w14:textId="77777777" w:rsidR="00F3214B" w:rsidRDefault="00F3214B">
            <w:pPr>
              <w:widowControl w:val="0"/>
              <w:ind w:firstLine="0"/>
              <w:jc w:val="both"/>
              <w:rPr>
                <w:sz w:val="20"/>
                <w:lang w:bidi="ar-SA"/>
              </w:rPr>
            </w:pPr>
          </w:p>
          <w:p w14:paraId="73F69956" w14:textId="77777777" w:rsidR="00F3214B" w:rsidRDefault="00F3214B">
            <w:pPr>
              <w:widowControl w:val="0"/>
              <w:ind w:firstLine="0"/>
              <w:jc w:val="both"/>
              <w:rPr>
                <w:sz w:val="20"/>
                <w:lang w:bidi="ar-SA"/>
              </w:rPr>
            </w:pPr>
          </w:p>
          <w:p w14:paraId="56657825" w14:textId="77777777" w:rsidR="00F3214B" w:rsidRDefault="00F3214B">
            <w:pPr>
              <w:ind w:firstLine="0"/>
              <w:jc w:val="both"/>
              <w:rPr>
                <w:lang w:bidi="ar-SA"/>
              </w:rPr>
            </w:pPr>
          </w:p>
        </w:tc>
      </w:tr>
    </w:tbl>
    <w:p w14:paraId="736380B0" w14:textId="77777777" w:rsidR="00F3214B" w:rsidRDefault="00F3214B" w:rsidP="00F3214B">
      <w:pPr>
        <w:ind w:firstLine="0"/>
        <w:jc w:val="both"/>
      </w:pPr>
      <w:r>
        <w:br w:type="page"/>
      </w:r>
    </w:p>
    <w:p w14:paraId="4B4CCEE8" w14:textId="77777777" w:rsidR="00F3214B" w:rsidRDefault="00F3214B" w:rsidP="00F3214B">
      <w:pPr>
        <w:ind w:firstLine="0"/>
        <w:jc w:val="both"/>
      </w:pPr>
    </w:p>
    <w:p w14:paraId="5CAA7492" w14:textId="77777777" w:rsidR="00F3214B" w:rsidRDefault="00F3214B" w:rsidP="00F3214B">
      <w:pPr>
        <w:ind w:firstLine="0"/>
        <w:jc w:val="both"/>
      </w:pPr>
    </w:p>
    <w:p w14:paraId="1246DA29" w14:textId="77777777" w:rsidR="00F3214B" w:rsidRDefault="00F3214B" w:rsidP="00F3214B">
      <w:pPr>
        <w:ind w:firstLine="0"/>
        <w:jc w:val="both"/>
      </w:pPr>
    </w:p>
    <w:p w14:paraId="432C178F" w14:textId="77777777" w:rsidR="00F3214B" w:rsidRDefault="00CC46F0" w:rsidP="00F3214B">
      <w:pPr>
        <w:ind w:firstLine="0"/>
        <w:jc w:val="right"/>
      </w:pPr>
      <w:r>
        <w:rPr>
          <w:noProof/>
        </w:rPr>
        <w:drawing>
          <wp:inline distT="0" distB="0" distL="0" distR="0" wp14:anchorId="57E7363E" wp14:editId="5C18CFB3">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D90996D" w14:textId="77777777" w:rsidR="00F3214B" w:rsidRDefault="00F3214B" w:rsidP="00F3214B">
      <w:pPr>
        <w:ind w:firstLine="0"/>
        <w:jc w:val="right"/>
      </w:pPr>
      <w:hyperlink r:id="rId9" w:history="1">
        <w:r w:rsidRPr="00302466">
          <w:rPr>
            <w:rStyle w:val="Hyperlien"/>
          </w:rPr>
          <w:t>http://classiques.uqac.ca/</w:t>
        </w:r>
      </w:hyperlink>
      <w:r>
        <w:t xml:space="preserve"> </w:t>
      </w:r>
    </w:p>
    <w:p w14:paraId="7F5AA138" w14:textId="77777777" w:rsidR="00F3214B" w:rsidRDefault="00F3214B" w:rsidP="00F3214B">
      <w:pPr>
        <w:ind w:firstLine="0"/>
        <w:jc w:val="both"/>
      </w:pPr>
    </w:p>
    <w:p w14:paraId="52E7CB24" w14:textId="77777777" w:rsidR="00F3214B" w:rsidRDefault="00F3214B" w:rsidP="00F3214B">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21691034" w14:textId="77777777" w:rsidR="00F3214B" w:rsidRDefault="00F3214B" w:rsidP="00F3214B">
      <w:pPr>
        <w:ind w:firstLine="0"/>
        <w:jc w:val="both"/>
      </w:pPr>
    </w:p>
    <w:p w14:paraId="569F527D" w14:textId="77777777" w:rsidR="00F3214B" w:rsidRDefault="00F3214B" w:rsidP="00F3214B">
      <w:pPr>
        <w:ind w:firstLine="0"/>
        <w:jc w:val="both"/>
      </w:pPr>
    </w:p>
    <w:p w14:paraId="392C56B5" w14:textId="77777777" w:rsidR="00F3214B" w:rsidRDefault="00CC46F0" w:rsidP="00F3214B">
      <w:pPr>
        <w:ind w:firstLine="0"/>
        <w:jc w:val="both"/>
      </w:pPr>
      <w:r>
        <w:rPr>
          <w:noProof/>
        </w:rPr>
        <w:drawing>
          <wp:inline distT="0" distB="0" distL="0" distR="0" wp14:anchorId="3EE4E470" wp14:editId="6E1C716E">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75073AA9" w14:textId="77777777" w:rsidR="00F3214B" w:rsidRDefault="00F3214B" w:rsidP="00F3214B">
      <w:pPr>
        <w:ind w:firstLine="0"/>
        <w:jc w:val="both"/>
      </w:pPr>
      <w:hyperlink r:id="rId11" w:history="1">
        <w:r w:rsidRPr="00302466">
          <w:rPr>
            <w:rStyle w:val="Hyperlien"/>
          </w:rPr>
          <w:t>http://bibliotheque.uqac.ca/</w:t>
        </w:r>
      </w:hyperlink>
      <w:r>
        <w:t xml:space="preserve"> </w:t>
      </w:r>
    </w:p>
    <w:p w14:paraId="31626E97" w14:textId="77777777" w:rsidR="00F3214B" w:rsidRDefault="00F3214B" w:rsidP="00F3214B">
      <w:pPr>
        <w:ind w:firstLine="0"/>
        <w:jc w:val="both"/>
      </w:pPr>
    </w:p>
    <w:p w14:paraId="283960D0" w14:textId="77777777" w:rsidR="00F3214B" w:rsidRDefault="00F3214B" w:rsidP="00F3214B">
      <w:pPr>
        <w:ind w:firstLine="0"/>
        <w:jc w:val="both"/>
      </w:pPr>
    </w:p>
    <w:p w14:paraId="3C43C9C1" w14:textId="77777777" w:rsidR="00F3214B" w:rsidRDefault="00F3214B" w:rsidP="00F3214B">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0F9FC1D0" w14:textId="77777777" w:rsidR="00F3214B" w:rsidRPr="005E1FF1" w:rsidRDefault="00F3214B" w:rsidP="00F3214B">
      <w:pPr>
        <w:widowControl w:val="0"/>
        <w:autoSpaceDE w:val="0"/>
        <w:autoSpaceDN w:val="0"/>
        <w:adjustRightInd w:val="0"/>
        <w:rPr>
          <w:rFonts w:ascii="Arial" w:hAnsi="Arial"/>
          <w:sz w:val="32"/>
          <w:szCs w:val="32"/>
        </w:rPr>
      </w:pPr>
      <w:r w:rsidRPr="00E07116">
        <w:br w:type="page"/>
      </w:r>
    </w:p>
    <w:p w14:paraId="7EDB1416" w14:textId="77777777" w:rsidR="00F3214B" w:rsidRPr="005E1FF1" w:rsidRDefault="00F3214B">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359E93CB" w14:textId="77777777" w:rsidR="00F3214B" w:rsidRPr="005E1FF1" w:rsidRDefault="00F3214B">
      <w:pPr>
        <w:widowControl w:val="0"/>
        <w:autoSpaceDE w:val="0"/>
        <w:autoSpaceDN w:val="0"/>
        <w:adjustRightInd w:val="0"/>
        <w:rPr>
          <w:rFonts w:ascii="Arial" w:hAnsi="Arial"/>
          <w:sz w:val="32"/>
          <w:szCs w:val="32"/>
        </w:rPr>
      </w:pPr>
    </w:p>
    <w:p w14:paraId="1F9899B5" w14:textId="77777777" w:rsidR="00F3214B" w:rsidRPr="005E1FF1" w:rsidRDefault="00F3214B">
      <w:pPr>
        <w:widowControl w:val="0"/>
        <w:autoSpaceDE w:val="0"/>
        <w:autoSpaceDN w:val="0"/>
        <w:adjustRightInd w:val="0"/>
        <w:jc w:val="both"/>
        <w:rPr>
          <w:rFonts w:ascii="Arial" w:hAnsi="Arial"/>
          <w:color w:val="1C1C1C"/>
          <w:sz w:val="26"/>
          <w:szCs w:val="26"/>
        </w:rPr>
      </w:pPr>
    </w:p>
    <w:p w14:paraId="3C4D68C1" w14:textId="77777777" w:rsidR="00F3214B" w:rsidRPr="005E1FF1" w:rsidRDefault="00F3214B">
      <w:pPr>
        <w:widowControl w:val="0"/>
        <w:autoSpaceDE w:val="0"/>
        <w:autoSpaceDN w:val="0"/>
        <w:adjustRightInd w:val="0"/>
        <w:jc w:val="both"/>
        <w:rPr>
          <w:rFonts w:ascii="Arial" w:hAnsi="Arial"/>
          <w:color w:val="1C1C1C"/>
          <w:sz w:val="26"/>
          <w:szCs w:val="26"/>
        </w:rPr>
      </w:pPr>
    </w:p>
    <w:p w14:paraId="00B89034" w14:textId="77777777" w:rsidR="00F3214B" w:rsidRPr="005E1FF1" w:rsidRDefault="00F3214B">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4380D76F" w14:textId="77777777" w:rsidR="00F3214B" w:rsidRPr="005E1FF1" w:rsidRDefault="00F3214B">
      <w:pPr>
        <w:widowControl w:val="0"/>
        <w:autoSpaceDE w:val="0"/>
        <w:autoSpaceDN w:val="0"/>
        <w:adjustRightInd w:val="0"/>
        <w:jc w:val="both"/>
        <w:rPr>
          <w:rFonts w:ascii="Arial" w:hAnsi="Arial"/>
          <w:color w:val="1C1C1C"/>
          <w:sz w:val="26"/>
          <w:szCs w:val="26"/>
        </w:rPr>
      </w:pPr>
    </w:p>
    <w:p w14:paraId="40D58E2C" w14:textId="77777777" w:rsidR="00F3214B" w:rsidRPr="00F336C5" w:rsidRDefault="00F3214B" w:rsidP="00F3214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5BBC12E9" w14:textId="77777777" w:rsidR="00F3214B" w:rsidRPr="00F336C5" w:rsidRDefault="00F3214B" w:rsidP="00F3214B">
      <w:pPr>
        <w:widowControl w:val="0"/>
        <w:autoSpaceDE w:val="0"/>
        <w:autoSpaceDN w:val="0"/>
        <w:adjustRightInd w:val="0"/>
        <w:jc w:val="both"/>
        <w:rPr>
          <w:rFonts w:ascii="Arial" w:hAnsi="Arial"/>
          <w:color w:val="1C1C1C"/>
          <w:sz w:val="26"/>
          <w:szCs w:val="26"/>
        </w:rPr>
      </w:pPr>
    </w:p>
    <w:p w14:paraId="592E682F" w14:textId="77777777" w:rsidR="00F3214B" w:rsidRPr="00F336C5" w:rsidRDefault="00F3214B" w:rsidP="00F3214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645FB05C" w14:textId="77777777" w:rsidR="00F3214B" w:rsidRPr="00F336C5" w:rsidRDefault="00F3214B" w:rsidP="00F3214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xml:space="preserve">- servir de base de travail à un autre fichier modifié ensuite par tout autre moyen (couleur, police, mise en page, extraits, support, </w:t>
      </w:r>
      <w:proofErr w:type="gramStart"/>
      <w:r w:rsidRPr="00F336C5">
        <w:rPr>
          <w:rFonts w:ascii="Arial" w:hAnsi="Arial"/>
          <w:color w:val="1C1C1C"/>
          <w:sz w:val="26"/>
          <w:szCs w:val="26"/>
        </w:rPr>
        <w:t>etc...</w:t>
      </w:r>
      <w:proofErr w:type="gramEnd"/>
      <w:r w:rsidRPr="00F336C5">
        <w:rPr>
          <w:rFonts w:ascii="Arial" w:hAnsi="Arial"/>
          <w:color w:val="1C1C1C"/>
          <w:sz w:val="26"/>
          <w:szCs w:val="26"/>
        </w:rPr>
        <w:t>),</w:t>
      </w:r>
    </w:p>
    <w:p w14:paraId="45FD98BB" w14:textId="77777777" w:rsidR="00F3214B" w:rsidRPr="00F336C5" w:rsidRDefault="00F3214B" w:rsidP="00F3214B">
      <w:pPr>
        <w:widowControl w:val="0"/>
        <w:autoSpaceDE w:val="0"/>
        <w:autoSpaceDN w:val="0"/>
        <w:adjustRightInd w:val="0"/>
        <w:jc w:val="both"/>
        <w:rPr>
          <w:rFonts w:ascii="Arial" w:hAnsi="Arial"/>
          <w:color w:val="1C1C1C"/>
          <w:sz w:val="26"/>
          <w:szCs w:val="26"/>
        </w:rPr>
      </w:pPr>
    </w:p>
    <w:p w14:paraId="2CD91993" w14:textId="77777777" w:rsidR="00F3214B" w:rsidRPr="005E1FF1" w:rsidRDefault="00F3214B">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1FB6D580" w14:textId="77777777" w:rsidR="00F3214B" w:rsidRPr="005E1FF1" w:rsidRDefault="00F3214B">
      <w:pPr>
        <w:widowControl w:val="0"/>
        <w:autoSpaceDE w:val="0"/>
        <w:autoSpaceDN w:val="0"/>
        <w:adjustRightInd w:val="0"/>
        <w:jc w:val="both"/>
        <w:rPr>
          <w:rFonts w:ascii="Arial" w:hAnsi="Arial"/>
          <w:color w:val="1C1C1C"/>
          <w:sz w:val="26"/>
          <w:szCs w:val="26"/>
        </w:rPr>
      </w:pPr>
    </w:p>
    <w:p w14:paraId="442952B6" w14:textId="77777777" w:rsidR="00F3214B" w:rsidRPr="005E1FF1" w:rsidRDefault="00F3214B">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0056E757" w14:textId="77777777" w:rsidR="00F3214B" w:rsidRPr="005E1FF1" w:rsidRDefault="00F3214B">
      <w:pPr>
        <w:rPr>
          <w:rFonts w:ascii="Arial" w:hAnsi="Arial"/>
          <w:b/>
          <w:color w:val="1C1C1C"/>
          <w:sz w:val="26"/>
          <w:szCs w:val="26"/>
        </w:rPr>
      </w:pPr>
    </w:p>
    <w:p w14:paraId="20F59234" w14:textId="77777777" w:rsidR="00F3214B" w:rsidRPr="00A51D9C" w:rsidRDefault="00F3214B">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07F6A512" w14:textId="77777777" w:rsidR="00F3214B" w:rsidRPr="005E1FF1" w:rsidRDefault="00F3214B">
      <w:pPr>
        <w:rPr>
          <w:rFonts w:ascii="Arial" w:hAnsi="Arial"/>
          <w:b/>
          <w:color w:val="1C1C1C"/>
          <w:sz w:val="26"/>
          <w:szCs w:val="26"/>
        </w:rPr>
      </w:pPr>
    </w:p>
    <w:p w14:paraId="1C274CAD" w14:textId="77777777" w:rsidR="00F3214B" w:rsidRPr="005E1FF1" w:rsidRDefault="00F3214B">
      <w:pPr>
        <w:rPr>
          <w:rFonts w:ascii="Arial" w:hAnsi="Arial"/>
          <w:color w:val="1C1C1C"/>
          <w:sz w:val="26"/>
          <w:szCs w:val="26"/>
        </w:rPr>
      </w:pPr>
      <w:r w:rsidRPr="005E1FF1">
        <w:rPr>
          <w:rFonts w:ascii="Arial" w:hAnsi="Arial"/>
          <w:color w:val="1C1C1C"/>
          <w:sz w:val="26"/>
          <w:szCs w:val="26"/>
        </w:rPr>
        <w:t>Jean-Marie Tremblay, sociologue</w:t>
      </w:r>
    </w:p>
    <w:p w14:paraId="2AB557F9" w14:textId="77777777" w:rsidR="00F3214B" w:rsidRPr="005E1FF1" w:rsidRDefault="00F3214B">
      <w:pPr>
        <w:rPr>
          <w:rFonts w:ascii="Arial" w:hAnsi="Arial"/>
          <w:color w:val="1C1C1C"/>
          <w:sz w:val="26"/>
          <w:szCs w:val="26"/>
        </w:rPr>
      </w:pPr>
      <w:r w:rsidRPr="005E1FF1">
        <w:rPr>
          <w:rFonts w:ascii="Arial" w:hAnsi="Arial"/>
          <w:color w:val="1C1C1C"/>
          <w:sz w:val="26"/>
          <w:szCs w:val="26"/>
        </w:rPr>
        <w:t>Fondateur et Président-directeur général,</w:t>
      </w:r>
    </w:p>
    <w:p w14:paraId="09FCBE1B" w14:textId="77777777" w:rsidR="00F3214B" w:rsidRPr="005E1FF1" w:rsidRDefault="00F3214B">
      <w:pPr>
        <w:rPr>
          <w:rFonts w:ascii="Arial" w:hAnsi="Arial"/>
          <w:color w:val="000080"/>
        </w:rPr>
      </w:pPr>
      <w:r w:rsidRPr="005E1FF1">
        <w:rPr>
          <w:rFonts w:ascii="Arial" w:hAnsi="Arial"/>
          <w:color w:val="000080"/>
          <w:sz w:val="26"/>
          <w:szCs w:val="26"/>
        </w:rPr>
        <w:t>LES CLASSIQUES DES SCIENCES SOCIALES.</w:t>
      </w:r>
    </w:p>
    <w:p w14:paraId="4015D2B2" w14:textId="77777777" w:rsidR="00F3214B" w:rsidRPr="00CF4C8E" w:rsidRDefault="00F3214B" w:rsidP="00F3214B">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2040DC0B" w14:textId="77777777" w:rsidR="00F3214B" w:rsidRPr="00CF4C8E" w:rsidRDefault="00F3214B" w:rsidP="00F3214B">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7346629E" w14:textId="77777777" w:rsidR="00F3214B" w:rsidRPr="00CF4C8E" w:rsidRDefault="00F3214B" w:rsidP="00F3214B">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6E423252" w14:textId="77777777" w:rsidR="00F3214B" w:rsidRPr="00CF4C8E" w:rsidRDefault="00F3214B" w:rsidP="00F3214B">
      <w:pPr>
        <w:ind w:left="20" w:hanging="20"/>
        <w:jc w:val="both"/>
        <w:rPr>
          <w:sz w:val="24"/>
        </w:rPr>
      </w:pPr>
      <w:proofErr w:type="gramStart"/>
      <w:r w:rsidRPr="00CF4C8E">
        <w:rPr>
          <w:sz w:val="24"/>
        </w:rPr>
        <w:t>à</w:t>
      </w:r>
      <w:proofErr w:type="gramEnd"/>
      <w:r w:rsidRPr="00CF4C8E">
        <w:rPr>
          <w:sz w:val="24"/>
        </w:rPr>
        <w:t xml:space="preserve"> partir du texte de :</w:t>
      </w:r>
    </w:p>
    <w:p w14:paraId="7C91556B" w14:textId="77777777" w:rsidR="00F3214B" w:rsidRDefault="00F3214B" w:rsidP="00F3214B">
      <w:pPr>
        <w:ind w:right="720" w:firstLine="0"/>
        <w:rPr>
          <w:sz w:val="24"/>
        </w:rPr>
      </w:pPr>
    </w:p>
    <w:p w14:paraId="6E86DDC8" w14:textId="77777777" w:rsidR="00F3214B" w:rsidRPr="0058603D" w:rsidRDefault="00F3214B" w:rsidP="00F3214B">
      <w:pPr>
        <w:ind w:left="20" w:firstLine="340"/>
        <w:jc w:val="both"/>
        <w:rPr>
          <w:sz w:val="24"/>
        </w:rPr>
      </w:pPr>
    </w:p>
    <w:p w14:paraId="46F741DC" w14:textId="77777777" w:rsidR="00F3214B" w:rsidRPr="00362640" w:rsidRDefault="00F3214B" w:rsidP="00F3214B">
      <w:pPr>
        <w:ind w:left="20" w:firstLine="340"/>
        <w:jc w:val="both"/>
      </w:pPr>
      <w:r>
        <w:t>Nina Veillard et Pierre CABROL</w:t>
      </w:r>
    </w:p>
    <w:p w14:paraId="16A666AC" w14:textId="77777777" w:rsidR="00F3214B" w:rsidRPr="00362640" w:rsidRDefault="00F3214B" w:rsidP="00F3214B">
      <w:pPr>
        <w:ind w:left="20" w:firstLine="340"/>
        <w:jc w:val="both"/>
      </w:pPr>
    </w:p>
    <w:p w14:paraId="08BD8E7C" w14:textId="77777777" w:rsidR="00F3214B" w:rsidRPr="00362640" w:rsidRDefault="00F3214B" w:rsidP="00F3214B">
      <w:pPr>
        <w:jc w:val="both"/>
      </w:pPr>
      <w:r>
        <w:rPr>
          <w:b/>
          <w:color w:val="000080"/>
        </w:rPr>
        <w:t>“Harcèlement de rue : l’inefficacité d’une réponse purement répressive.”</w:t>
      </w:r>
    </w:p>
    <w:p w14:paraId="6B0FCEC9" w14:textId="77777777" w:rsidR="00F3214B" w:rsidRPr="00362640" w:rsidRDefault="00F3214B" w:rsidP="00F3214B">
      <w:pPr>
        <w:jc w:val="both"/>
      </w:pPr>
    </w:p>
    <w:p w14:paraId="587CE782" w14:textId="77777777" w:rsidR="00F3214B" w:rsidRPr="00362640" w:rsidRDefault="00F3214B" w:rsidP="00F3214B">
      <w:pPr>
        <w:jc w:val="both"/>
      </w:pPr>
      <w:r>
        <w:t>Chicoutimi : Les Classiques des sciences sociales, un texte inédit, novembre 2022, 24 pp.</w:t>
      </w:r>
    </w:p>
    <w:p w14:paraId="4ACA550C" w14:textId="77777777" w:rsidR="00F3214B" w:rsidRDefault="00F3214B" w:rsidP="00F3214B">
      <w:pPr>
        <w:jc w:val="both"/>
        <w:rPr>
          <w:sz w:val="24"/>
        </w:rPr>
      </w:pPr>
    </w:p>
    <w:p w14:paraId="4F2D79A3" w14:textId="77777777" w:rsidR="00F3214B" w:rsidRPr="0058603D" w:rsidRDefault="00F3214B" w:rsidP="00F3214B">
      <w:pPr>
        <w:jc w:val="both"/>
        <w:rPr>
          <w:sz w:val="24"/>
        </w:rPr>
      </w:pPr>
    </w:p>
    <w:p w14:paraId="1EA0389C" w14:textId="77777777" w:rsidR="00F3214B" w:rsidRPr="0058603D" w:rsidRDefault="00F3214B" w:rsidP="00F3214B">
      <w:pPr>
        <w:ind w:left="20"/>
        <w:jc w:val="both"/>
        <w:rPr>
          <w:sz w:val="24"/>
        </w:rPr>
      </w:pPr>
      <w:r>
        <w:rPr>
          <w:sz w:val="24"/>
        </w:rPr>
        <w:t>M. Cabrol nous a accordé son autoris</w:t>
      </w:r>
      <w:r w:rsidRPr="0058603D">
        <w:rPr>
          <w:sz w:val="24"/>
        </w:rPr>
        <w:t>a</w:t>
      </w:r>
      <w:r w:rsidRPr="0058603D">
        <w:rPr>
          <w:sz w:val="24"/>
        </w:rPr>
        <w:t xml:space="preserve">tion de diffuser </w:t>
      </w:r>
      <w:r>
        <w:rPr>
          <w:sz w:val="24"/>
        </w:rPr>
        <w:t>en accès libre à tous ce texte dans Les Class</w:t>
      </w:r>
      <w:r>
        <w:rPr>
          <w:sz w:val="24"/>
        </w:rPr>
        <w:t>i</w:t>
      </w:r>
      <w:r>
        <w:rPr>
          <w:sz w:val="24"/>
        </w:rPr>
        <w:t>ques des sciences sociales le 5 novembre 2022</w:t>
      </w:r>
      <w:r w:rsidRPr="0058603D">
        <w:rPr>
          <w:sz w:val="24"/>
        </w:rPr>
        <w:t>.</w:t>
      </w:r>
    </w:p>
    <w:p w14:paraId="03A87CB6" w14:textId="77777777" w:rsidR="00F3214B" w:rsidRPr="0058603D" w:rsidRDefault="00F3214B" w:rsidP="00F3214B">
      <w:pPr>
        <w:jc w:val="both"/>
        <w:rPr>
          <w:sz w:val="24"/>
        </w:rPr>
      </w:pPr>
    </w:p>
    <w:p w14:paraId="71C502E5" w14:textId="77777777" w:rsidR="00F3214B" w:rsidRPr="00A17A46" w:rsidRDefault="00CC46F0" w:rsidP="00F3214B">
      <w:pPr>
        <w:jc w:val="both"/>
        <w:rPr>
          <w:sz w:val="24"/>
        </w:rPr>
      </w:pPr>
      <w:r w:rsidRPr="00A17A46">
        <w:rPr>
          <w:noProof/>
          <w:sz w:val="24"/>
        </w:rPr>
        <w:drawing>
          <wp:inline distT="0" distB="0" distL="0" distR="0" wp14:anchorId="54387382" wp14:editId="14B42775">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F3214B" w:rsidRPr="00A17A46">
        <w:rPr>
          <w:sz w:val="24"/>
        </w:rPr>
        <w:t xml:space="preserve"> Courriels : Pierre Cabrol</w:t>
      </w:r>
      <w:r w:rsidR="00F3214B">
        <w:rPr>
          <w:sz w:val="24"/>
        </w:rPr>
        <w:t> </w:t>
      </w:r>
      <w:r w:rsidR="00F3214B" w:rsidRPr="00A17A46">
        <w:rPr>
          <w:sz w:val="24"/>
        </w:rPr>
        <w:t xml:space="preserve">: </w:t>
      </w:r>
      <w:hyperlink r:id="rId15" w:history="1">
        <w:r w:rsidR="00F3214B" w:rsidRPr="00A17A46">
          <w:rPr>
            <w:rStyle w:val="Hyperlien"/>
            <w:sz w:val="24"/>
          </w:rPr>
          <w:t>cabrolpierre@gmail.com</w:t>
        </w:r>
      </w:hyperlink>
    </w:p>
    <w:p w14:paraId="2E0CEE8C" w14:textId="77777777" w:rsidR="00F3214B" w:rsidRPr="00CC46F0" w:rsidRDefault="00F3214B" w:rsidP="00F3214B">
      <w:pPr>
        <w:ind w:left="20"/>
        <w:jc w:val="both"/>
        <w:rPr>
          <w:sz w:val="24"/>
          <w:lang w:val="en-US"/>
        </w:rPr>
      </w:pPr>
      <w:r w:rsidRPr="00CC46F0">
        <w:rPr>
          <w:sz w:val="24"/>
          <w:lang w:val="en-US"/>
        </w:rPr>
        <w:t xml:space="preserve">Nina </w:t>
      </w:r>
      <w:proofErr w:type="gramStart"/>
      <w:r w:rsidRPr="00CC46F0">
        <w:rPr>
          <w:sz w:val="24"/>
          <w:lang w:val="en-US"/>
        </w:rPr>
        <w:t>Veillard :</w:t>
      </w:r>
      <w:proofErr w:type="gramEnd"/>
      <w:r w:rsidRPr="00CC46F0">
        <w:rPr>
          <w:sz w:val="24"/>
          <w:lang w:val="en-US"/>
        </w:rPr>
        <w:t xml:space="preserve"> </w:t>
      </w:r>
      <w:hyperlink r:id="rId16" w:history="1">
        <w:r w:rsidRPr="00CC46F0">
          <w:rPr>
            <w:rStyle w:val="Hyperlien"/>
            <w:sz w:val="24"/>
            <w:lang w:val="en-US"/>
          </w:rPr>
          <w:t>ninouche.veillard@gmail.com</w:t>
        </w:r>
      </w:hyperlink>
      <w:r w:rsidRPr="00CC46F0">
        <w:rPr>
          <w:sz w:val="24"/>
          <w:lang w:val="en-US"/>
        </w:rPr>
        <w:t xml:space="preserve"> </w:t>
      </w:r>
    </w:p>
    <w:p w14:paraId="4128454E" w14:textId="77777777" w:rsidR="00F3214B" w:rsidRPr="00CC46F0" w:rsidRDefault="00F3214B" w:rsidP="00F3214B">
      <w:pPr>
        <w:ind w:left="20"/>
        <w:jc w:val="both"/>
        <w:rPr>
          <w:sz w:val="24"/>
          <w:lang w:val="en-US"/>
        </w:rPr>
      </w:pPr>
    </w:p>
    <w:p w14:paraId="40F79003" w14:textId="77777777" w:rsidR="00F3214B" w:rsidRPr="00753781" w:rsidRDefault="00F3214B">
      <w:pPr>
        <w:ind w:right="1800" w:firstLine="0"/>
        <w:jc w:val="both"/>
        <w:rPr>
          <w:sz w:val="24"/>
        </w:rPr>
      </w:pPr>
      <w:r>
        <w:rPr>
          <w:sz w:val="24"/>
        </w:rPr>
        <w:t>Police</w:t>
      </w:r>
      <w:r w:rsidRPr="00753781">
        <w:rPr>
          <w:sz w:val="24"/>
        </w:rPr>
        <w:t xml:space="preserve"> de caractères utilisé</w:t>
      </w:r>
      <w:r>
        <w:rPr>
          <w:sz w:val="24"/>
        </w:rPr>
        <w:t>s</w:t>
      </w:r>
      <w:r w:rsidRPr="00753781">
        <w:rPr>
          <w:sz w:val="24"/>
        </w:rPr>
        <w:t> :</w:t>
      </w:r>
    </w:p>
    <w:p w14:paraId="745C9249" w14:textId="77777777" w:rsidR="00F3214B" w:rsidRPr="00753781" w:rsidRDefault="00F3214B">
      <w:pPr>
        <w:ind w:right="1800" w:firstLine="0"/>
        <w:jc w:val="both"/>
        <w:rPr>
          <w:sz w:val="24"/>
        </w:rPr>
      </w:pPr>
    </w:p>
    <w:p w14:paraId="1E64FA80" w14:textId="77777777" w:rsidR="00F3214B" w:rsidRPr="00753781" w:rsidRDefault="00F3214B" w:rsidP="00F3214B">
      <w:pPr>
        <w:ind w:left="360" w:right="360" w:firstLine="0"/>
        <w:jc w:val="both"/>
        <w:rPr>
          <w:sz w:val="24"/>
        </w:rPr>
      </w:pPr>
      <w:r w:rsidRPr="00753781">
        <w:rPr>
          <w:sz w:val="24"/>
        </w:rPr>
        <w:t>Pour le texte: Times New Roman, 14 points.</w:t>
      </w:r>
    </w:p>
    <w:p w14:paraId="22EABD45" w14:textId="77777777" w:rsidR="00F3214B" w:rsidRPr="00753781" w:rsidRDefault="00F3214B" w:rsidP="00F3214B">
      <w:pPr>
        <w:ind w:left="360" w:right="360" w:firstLine="0"/>
        <w:jc w:val="both"/>
        <w:rPr>
          <w:sz w:val="24"/>
        </w:rPr>
      </w:pPr>
      <w:r w:rsidRPr="00753781">
        <w:rPr>
          <w:sz w:val="24"/>
        </w:rPr>
        <w:t>Pour les notes de bas de page : Times New Roman, 12 points.</w:t>
      </w:r>
    </w:p>
    <w:p w14:paraId="226BBF75" w14:textId="77777777" w:rsidR="00F3214B" w:rsidRPr="00753781" w:rsidRDefault="00F3214B">
      <w:pPr>
        <w:ind w:left="360" w:right="1800" w:firstLine="0"/>
        <w:jc w:val="both"/>
        <w:rPr>
          <w:sz w:val="24"/>
        </w:rPr>
      </w:pPr>
    </w:p>
    <w:p w14:paraId="1A9CB89C" w14:textId="77777777" w:rsidR="00F3214B" w:rsidRPr="00753781" w:rsidRDefault="00F3214B">
      <w:pPr>
        <w:ind w:right="360" w:firstLine="0"/>
        <w:jc w:val="both"/>
        <w:rPr>
          <w:sz w:val="24"/>
        </w:rPr>
      </w:pPr>
      <w:r w:rsidRPr="00753781">
        <w:rPr>
          <w:sz w:val="24"/>
        </w:rPr>
        <w:t>Édition électronique réalisée avec le traitement de textes Microsoft Word 2008 pour Macintosh.</w:t>
      </w:r>
    </w:p>
    <w:p w14:paraId="0962E8A1" w14:textId="77777777" w:rsidR="00F3214B" w:rsidRPr="00753781" w:rsidRDefault="00F3214B">
      <w:pPr>
        <w:ind w:right="1800" w:firstLine="0"/>
        <w:jc w:val="both"/>
        <w:rPr>
          <w:sz w:val="24"/>
        </w:rPr>
      </w:pPr>
    </w:p>
    <w:p w14:paraId="3283258E" w14:textId="77777777" w:rsidR="00F3214B" w:rsidRPr="00753781" w:rsidRDefault="00F3214B" w:rsidP="00F3214B">
      <w:pPr>
        <w:ind w:right="540" w:firstLine="0"/>
        <w:jc w:val="both"/>
        <w:rPr>
          <w:sz w:val="24"/>
        </w:rPr>
      </w:pPr>
      <w:r w:rsidRPr="00753781">
        <w:rPr>
          <w:sz w:val="24"/>
        </w:rPr>
        <w:t>Mise en page sur papier format : LETTRE US, 8.5’’ x 11’’.</w:t>
      </w:r>
    </w:p>
    <w:p w14:paraId="6C4493D9" w14:textId="77777777" w:rsidR="00F3214B" w:rsidRPr="00753781" w:rsidRDefault="00F3214B">
      <w:pPr>
        <w:ind w:right="1800" w:firstLine="0"/>
        <w:jc w:val="both"/>
        <w:rPr>
          <w:sz w:val="24"/>
        </w:rPr>
      </w:pPr>
    </w:p>
    <w:p w14:paraId="1DE8CED1" w14:textId="77777777" w:rsidR="00F3214B" w:rsidRPr="00753781" w:rsidRDefault="00F3214B" w:rsidP="00F3214B">
      <w:pPr>
        <w:ind w:firstLine="0"/>
        <w:jc w:val="both"/>
        <w:rPr>
          <w:sz w:val="24"/>
        </w:rPr>
      </w:pPr>
      <w:r w:rsidRPr="00753781">
        <w:rPr>
          <w:sz w:val="24"/>
        </w:rPr>
        <w:t xml:space="preserve">Édition numérique réalisée le </w:t>
      </w:r>
      <w:r>
        <w:rPr>
          <w:sz w:val="24"/>
        </w:rPr>
        <w:t>9 novembre 2022</w:t>
      </w:r>
      <w:r w:rsidRPr="00753781">
        <w:rPr>
          <w:sz w:val="24"/>
        </w:rPr>
        <w:t xml:space="preserve"> à Chi</w:t>
      </w:r>
      <w:r>
        <w:rPr>
          <w:sz w:val="24"/>
        </w:rPr>
        <w:t>coutimi</w:t>
      </w:r>
      <w:r w:rsidRPr="00753781">
        <w:rPr>
          <w:sz w:val="24"/>
        </w:rPr>
        <w:t>, Québec.</w:t>
      </w:r>
    </w:p>
    <w:p w14:paraId="0752D975" w14:textId="77777777" w:rsidR="00F3214B" w:rsidRPr="00753781" w:rsidRDefault="00F3214B">
      <w:pPr>
        <w:ind w:right="1800" w:firstLine="0"/>
        <w:jc w:val="both"/>
        <w:rPr>
          <w:sz w:val="24"/>
        </w:rPr>
      </w:pPr>
    </w:p>
    <w:p w14:paraId="106D1375" w14:textId="77777777" w:rsidR="00F3214B" w:rsidRPr="00753781" w:rsidRDefault="00CC46F0">
      <w:pPr>
        <w:ind w:right="1800" w:firstLine="0"/>
        <w:jc w:val="both"/>
        <w:rPr>
          <w:sz w:val="24"/>
        </w:rPr>
      </w:pPr>
      <w:r w:rsidRPr="00753781">
        <w:rPr>
          <w:noProof/>
          <w:sz w:val="24"/>
        </w:rPr>
        <w:drawing>
          <wp:inline distT="0" distB="0" distL="0" distR="0" wp14:anchorId="5E5A7630" wp14:editId="4F75029A">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3901A96" w14:textId="77777777" w:rsidR="00F3214B" w:rsidRDefault="00F3214B" w:rsidP="00F3214B">
      <w:pPr>
        <w:ind w:left="20"/>
        <w:jc w:val="both"/>
      </w:pPr>
      <w:r>
        <w:br w:type="page"/>
      </w:r>
    </w:p>
    <w:p w14:paraId="0A58D758" w14:textId="77777777" w:rsidR="00F3214B" w:rsidRDefault="00F3214B" w:rsidP="00F3214B">
      <w:pPr>
        <w:ind w:firstLine="0"/>
        <w:jc w:val="center"/>
        <w:rPr>
          <w:b/>
          <w:sz w:val="36"/>
        </w:rPr>
      </w:pPr>
      <w:r>
        <w:rPr>
          <w:sz w:val="36"/>
        </w:rPr>
        <w:t>Nina Veillard et Pierre CABROL</w:t>
      </w:r>
    </w:p>
    <w:p w14:paraId="0D49FF32" w14:textId="77777777" w:rsidR="00F3214B" w:rsidRDefault="00F3214B" w:rsidP="00F3214B">
      <w:pPr>
        <w:ind w:firstLine="0"/>
        <w:jc w:val="center"/>
        <w:rPr>
          <w:sz w:val="24"/>
        </w:rPr>
      </w:pPr>
      <w:r>
        <w:rPr>
          <w:sz w:val="24"/>
        </w:rPr>
        <w:t>Respectivement étudiante, d’une part,</w:t>
      </w:r>
      <w:r>
        <w:rPr>
          <w:sz w:val="24"/>
        </w:rPr>
        <w:br/>
        <w:t xml:space="preserve">et </w:t>
      </w:r>
      <w:r w:rsidRPr="00D966C7">
        <w:rPr>
          <w:sz w:val="24"/>
        </w:rPr>
        <w:t>Maître de conférences de Droit privé</w:t>
      </w:r>
      <w:r>
        <w:rPr>
          <w:sz w:val="24"/>
        </w:rPr>
        <w:br/>
      </w:r>
      <w:r w:rsidRPr="00D966C7">
        <w:rPr>
          <w:sz w:val="24"/>
        </w:rPr>
        <w:t>à l’IUT Michel de Montaigne Bo</w:t>
      </w:r>
      <w:r w:rsidRPr="00D966C7">
        <w:rPr>
          <w:sz w:val="24"/>
        </w:rPr>
        <w:t>r</w:t>
      </w:r>
      <w:r w:rsidRPr="00D966C7">
        <w:rPr>
          <w:sz w:val="24"/>
        </w:rPr>
        <w:t>deaux 3 (France)</w:t>
      </w:r>
      <w:r>
        <w:rPr>
          <w:sz w:val="24"/>
        </w:rPr>
        <w:t>, d’autre part.</w:t>
      </w:r>
    </w:p>
    <w:p w14:paraId="6ACFEBCA" w14:textId="77777777" w:rsidR="00F3214B" w:rsidRDefault="00F3214B" w:rsidP="00F3214B">
      <w:pPr>
        <w:ind w:firstLine="0"/>
        <w:jc w:val="center"/>
      </w:pPr>
    </w:p>
    <w:p w14:paraId="4595A14A" w14:textId="77777777" w:rsidR="00F3214B" w:rsidRPr="00F6037D" w:rsidRDefault="00F3214B" w:rsidP="00F3214B">
      <w:pPr>
        <w:ind w:firstLine="0"/>
        <w:jc w:val="center"/>
        <w:rPr>
          <w:color w:val="000080"/>
          <w:sz w:val="36"/>
        </w:rPr>
      </w:pPr>
      <w:r>
        <w:rPr>
          <w:color w:val="000080"/>
          <w:sz w:val="36"/>
        </w:rPr>
        <w:t>“Harcèlement de rue :</w:t>
      </w:r>
      <w:r>
        <w:rPr>
          <w:color w:val="000080"/>
          <w:sz w:val="36"/>
        </w:rPr>
        <w:br/>
      </w:r>
      <w:r w:rsidRPr="001E3A35">
        <w:rPr>
          <w:color w:val="000080"/>
          <w:sz w:val="36"/>
        </w:rPr>
        <w:t>l’inefficacité d’une réponse</w:t>
      </w:r>
      <w:r>
        <w:rPr>
          <w:color w:val="000080"/>
          <w:sz w:val="36"/>
        </w:rPr>
        <w:br/>
      </w:r>
      <w:r w:rsidRPr="001E3A35">
        <w:rPr>
          <w:color w:val="000080"/>
          <w:sz w:val="36"/>
        </w:rPr>
        <w:t>p</w:t>
      </w:r>
      <w:r w:rsidRPr="001E3A35">
        <w:rPr>
          <w:color w:val="000080"/>
          <w:sz w:val="36"/>
        </w:rPr>
        <w:t>u</w:t>
      </w:r>
      <w:r w:rsidRPr="001E3A35">
        <w:rPr>
          <w:color w:val="000080"/>
          <w:sz w:val="36"/>
        </w:rPr>
        <w:t>rement répressive.”</w:t>
      </w:r>
    </w:p>
    <w:p w14:paraId="185965EF" w14:textId="77777777" w:rsidR="00F3214B" w:rsidRDefault="00F3214B" w:rsidP="00F3214B">
      <w:pPr>
        <w:ind w:firstLine="0"/>
        <w:jc w:val="center"/>
      </w:pPr>
    </w:p>
    <w:p w14:paraId="38A83154" w14:textId="77777777" w:rsidR="00F3214B" w:rsidRDefault="00CC46F0" w:rsidP="00F3214B">
      <w:pPr>
        <w:ind w:firstLine="0"/>
        <w:jc w:val="center"/>
      </w:pPr>
      <w:r>
        <w:rPr>
          <w:noProof/>
        </w:rPr>
        <w:drawing>
          <wp:inline distT="0" distB="0" distL="0" distR="0" wp14:anchorId="56F1AEC0" wp14:editId="10C9EFAB">
            <wp:extent cx="2882900" cy="41021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2900" cy="4102100"/>
                    </a:xfrm>
                    <a:prstGeom prst="rect">
                      <a:avLst/>
                    </a:prstGeom>
                    <a:noFill/>
                    <a:ln w="6350" cmpd="sng">
                      <a:solidFill>
                        <a:srgbClr val="000000"/>
                      </a:solidFill>
                      <a:miter lim="800000"/>
                      <a:headEnd/>
                      <a:tailEnd/>
                    </a:ln>
                    <a:effectLst/>
                  </pic:spPr>
                </pic:pic>
              </a:graphicData>
            </a:graphic>
          </wp:inline>
        </w:drawing>
      </w:r>
    </w:p>
    <w:p w14:paraId="27794380" w14:textId="77777777" w:rsidR="00F3214B" w:rsidRDefault="00F3214B" w:rsidP="00F3214B">
      <w:pPr>
        <w:jc w:val="both"/>
      </w:pPr>
    </w:p>
    <w:p w14:paraId="721F531F" w14:textId="77777777" w:rsidR="00F3214B" w:rsidRPr="00362640" w:rsidRDefault="00F3214B" w:rsidP="00F3214B">
      <w:pPr>
        <w:jc w:val="both"/>
      </w:pPr>
      <w:r>
        <w:t>Chicoutimi : Les Classiques des sciences sociales, un texte inédit, novembre 2022, 16 pp.</w:t>
      </w:r>
    </w:p>
    <w:p w14:paraId="36C4D35C" w14:textId="77777777" w:rsidR="00F3214B" w:rsidRDefault="00F3214B" w:rsidP="00F3214B">
      <w:pPr>
        <w:jc w:val="both"/>
      </w:pPr>
      <w:r>
        <w:br w:type="page"/>
      </w:r>
    </w:p>
    <w:p w14:paraId="37ED3714" w14:textId="77777777" w:rsidR="00F3214B" w:rsidRDefault="00F3214B" w:rsidP="00F3214B">
      <w:pPr>
        <w:jc w:val="both"/>
      </w:pPr>
    </w:p>
    <w:p w14:paraId="2266DF1F" w14:textId="77777777" w:rsidR="00F3214B" w:rsidRDefault="00F3214B" w:rsidP="00F3214B">
      <w:pPr>
        <w:ind w:firstLine="0"/>
        <w:jc w:val="center"/>
        <w:rPr>
          <w:b/>
          <w:sz w:val="36"/>
        </w:rPr>
      </w:pPr>
      <w:r>
        <w:rPr>
          <w:sz w:val="36"/>
        </w:rPr>
        <w:t>Nina Veillard et Pierre CABROL</w:t>
      </w:r>
    </w:p>
    <w:p w14:paraId="5F8A6E78" w14:textId="77777777" w:rsidR="00F3214B" w:rsidRDefault="00F3214B" w:rsidP="00F3214B">
      <w:pPr>
        <w:ind w:firstLine="0"/>
        <w:jc w:val="center"/>
        <w:rPr>
          <w:sz w:val="24"/>
        </w:rPr>
      </w:pPr>
      <w:r>
        <w:rPr>
          <w:sz w:val="24"/>
        </w:rPr>
        <w:t>Respectivement étudiante, d’une part,</w:t>
      </w:r>
      <w:r>
        <w:rPr>
          <w:sz w:val="24"/>
        </w:rPr>
        <w:br/>
        <w:t xml:space="preserve">et </w:t>
      </w:r>
      <w:r w:rsidRPr="00D966C7">
        <w:rPr>
          <w:sz w:val="24"/>
        </w:rPr>
        <w:t>Maître de conférences de Droit privé</w:t>
      </w:r>
      <w:r>
        <w:rPr>
          <w:sz w:val="24"/>
        </w:rPr>
        <w:br/>
      </w:r>
      <w:r w:rsidRPr="00D966C7">
        <w:rPr>
          <w:sz w:val="24"/>
        </w:rPr>
        <w:t>à l’IUT Michel de Montaigne Bo</w:t>
      </w:r>
      <w:r w:rsidRPr="00D966C7">
        <w:rPr>
          <w:sz w:val="24"/>
        </w:rPr>
        <w:t>r</w:t>
      </w:r>
      <w:r w:rsidRPr="00D966C7">
        <w:rPr>
          <w:sz w:val="24"/>
        </w:rPr>
        <w:t>deaux 3 (France)</w:t>
      </w:r>
      <w:r>
        <w:rPr>
          <w:sz w:val="24"/>
        </w:rPr>
        <w:t>, d’autre part.</w:t>
      </w:r>
    </w:p>
    <w:p w14:paraId="5CBCD300" w14:textId="77777777" w:rsidR="00F3214B" w:rsidRDefault="00F3214B" w:rsidP="00F3214B">
      <w:pPr>
        <w:ind w:firstLine="0"/>
        <w:jc w:val="center"/>
      </w:pPr>
    </w:p>
    <w:p w14:paraId="52F785EF" w14:textId="77777777" w:rsidR="00F3214B" w:rsidRPr="00F6037D" w:rsidRDefault="00F3214B" w:rsidP="00F3214B">
      <w:pPr>
        <w:ind w:firstLine="0"/>
        <w:jc w:val="center"/>
        <w:rPr>
          <w:color w:val="000080"/>
          <w:sz w:val="36"/>
        </w:rPr>
      </w:pPr>
      <w:r>
        <w:rPr>
          <w:color w:val="000080"/>
          <w:sz w:val="36"/>
        </w:rPr>
        <w:t>“Harcèlement de rue :</w:t>
      </w:r>
      <w:r>
        <w:rPr>
          <w:color w:val="000080"/>
          <w:sz w:val="36"/>
        </w:rPr>
        <w:br/>
      </w:r>
      <w:r w:rsidRPr="001E3A35">
        <w:rPr>
          <w:color w:val="000080"/>
          <w:sz w:val="36"/>
        </w:rPr>
        <w:t>l’inefficacité d’une réponse</w:t>
      </w:r>
      <w:r>
        <w:rPr>
          <w:color w:val="000080"/>
          <w:sz w:val="36"/>
        </w:rPr>
        <w:br/>
      </w:r>
      <w:r w:rsidRPr="001E3A35">
        <w:rPr>
          <w:color w:val="000080"/>
          <w:sz w:val="36"/>
        </w:rPr>
        <w:t>p</w:t>
      </w:r>
      <w:r w:rsidRPr="001E3A35">
        <w:rPr>
          <w:color w:val="000080"/>
          <w:sz w:val="36"/>
        </w:rPr>
        <w:t>u</w:t>
      </w:r>
      <w:r w:rsidRPr="001E3A35">
        <w:rPr>
          <w:color w:val="000080"/>
          <w:sz w:val="36"/>
        </w:rPr>
        <w:t>rement répressive.”</w:t>
      </w:r>
    </w:p>
    <w:p w14:paraId="7CDA00FB" w14:textId="77777777" w:rsidR="00F3214B" w:rsidRDefault="00F3214B" w:rsidP="00F3214B">
      <w:pPr>
        <w:jc w:val="both"/>
      </w:pPr>
    </w:p>
    <w:p w14:paraId="5264913F" w14:textId="77777777" w:rsidR="00F3214B" w:rsidRPr="00362640" w:rsidRDefault="00F3214B" w:rsidP="00F3214B">
      <w:pPr>
        <w:jc w:val="both"/>
      </w:pPr>
      <w:r>
        <w:t>Chicoutimi : Les Classiques des sciences sociales, un texte inédit, novembre 2022, 16 pp.</w:t>
      </w:r>
    </w:p>
    <w:p w14:paraId="772505A9" w14:textId="77777777" w:rsidR="00F3214B" w:rsidRDefault="00F3214B">
      <w:pPr>
        <w:jc w:val="both"/>
      </w:pPr>
    </w:p>
    <w:p w14:paraId="62571430" w14:textId="77777777" w:rsidR="00F3214B" w:rsidRDefault="00F3214B">
      <w:pPr>
        <w:jc w:val="both"/>
      </w:pPr>
    </w:p>
    <w:p w14:paraId="41AE4F94" w14:textId="77777777" w:rsidR="00F3214B" w:rsidRPr="000E03BC" w:rsidRDefault="00F3214B" w:rsidP="00F3214B">
      <w:pPr>
        <w:spacing w:before="120" w:after="120"/>
        <w:jc w:val="both"/>
        <w:rPr>
          <w:rFonts w:eastAsia="MS Mincho"/>
          <w:szCs w:val="32"/>
          <w:lang w:eastAsia="fr-FR"/>
        </w:rPr>
      </w:pPr>
    </w:p>
    <w:p w14:paraId="572FA7F2" w14:textId="77777777" w:rsidR="00F3214B" w:rsidRPr="000E03BC" w:rsidRDefault="00F3214B" w:rsidP="00F3214B">
      <w:pPr>
        <w:pStyle w:val="a"/>
        <w:ind w:firstLine="0"/>
      </w:pPr>
      <w:r w:rsidRPr="000E03BC">
        <w:t>Préambule</w:t>
      </w:r>
    </w:p>
    <w:p w14:paraId="5A4ADE2E" w14:textId="77777777" w:rsidR="00F3214B" w:rsidRPr="000E03BC" w:rsidRDefault="00F3214B" w:rsidP="00F3214B">
      <w:pPr>
        <w:spacing w:before="120" w:after="120"/>
        <w:jc w:val="both"/>
        <w:rPr>
          <w:szCs w:val="28"/>
        </w:rPr>
      </w:pPr>
    </w:p>
    <w:p w14:paraId="053A80CD" w14:textId="77777777" w:rsidR="00F3214B" w:rsidRPr="000E03BC" w:rsidRDefault="00F3214B" w:rsidP="00F3214B">
      <w:pPr>
        <w:spacing w:before="120" w:after="120"/>
        <w:jc w:val="both"/>
        <w:rPr>
          <w:szCs w:val="28"/>
        </w:rPr>
      </w:pPr>
      <w:r w:rsidRPr="000E03BC">
        <w:rPr>
          <w:szCs w:val="28"/>
        </w:rPr>
        <w:t>En 1993, le Professeur Jean-Marie Tremblay créait, au Québec, la biblioth</w:t>
      </w:r>
      <w:r w:rsidRPr="000E03BC">
        <w:rPr>
          <w:szCs w:val="28"/>
        </w:rPr>
        <w:t>è</w:t>
      </w:r>
      <w:r w:rsidRPr="000E03BC">
        <w:rPr>
          <w:szCs w:val="28"/>
        </w:rPr>
        <w:t>que de sciences sociales en libre accès, « </w:t>
      </w:r>
      <w:r w:rsidRPr="000E03BC">
        <w:rPr>
          <w:i/>
          <w:szCs w:val="28"/>
        </w:rPr>
        <w:t>Les Classiques des Sciences sociales</w:t>
      </w:r>
      <w:r w:rsidRPr="000E03BC">
        <w:rPr>
          <w:szCs w:val="28"/>
        </w:rPr>
        <w:t> ». Vingt-huit années plus tard, cette bibliothèque en ligne, qui s’est développée grâce au travail de 140 bénévoles et à un partenariat avec l’Université du Qu</w:t>
      </w:r>
      <w:r w:rsidRPr="000E03BC">
        <w:rPr>
          <w:szCs w:val="28"/>
        </w:rPr>
        <w:t>é</w:t>
      </w:r>
      <w:r w:rsidRPr="000E03BC">
        <w:rPr>
          <w:szCs w:val="28"/>
        </w:rPr>
        <w:t>bec à Chicoutimi, affiche plus de 76,8 millions de téléchargements de juin 2003 à août 2021, et près de 2,5 millions de visiteurs pour la seule année 2020. Ce projet est porté par des valeurs de justice cognitive telles que la lutte contre les inég</w:t>
      </w:r>
      <w:r w:rsidRPr="000E03BC">
        <w:rPr>
          <w:szCs w:val="28"/>
        </w:rPr>
        <w:t>a</w:t>
      </w:r>
      <w:r w:rsidRPr="000E03BC">
        <w:rPr>
          <w:szCs w:val="28"/>
        </w:rPr>
        <w:t>lités en matière d’accès au savoir et le développement de la connai</w:t>
      </w:r>
      <w:r w:rsidRPr="000E03BC">
        <w:rPr>
          <w:szCs w:val="28"/>
        </w:rPr>
        <w:t>s</w:t>
      </w:r>
      <w:r w:rsidRPr="000E03BC">
        <w:rPr>
          <w:szCs w:val="28"/>
        </w:rPr>
        <w:t>sance par l’expression croisée à parité des regards portés sur celles-ci par l’ensemble des membres de la communauté francophone</w:t>
      </w:r>
      <w:r>
        <w:rPr>
          <w:szCs w:val="28"/>
        </w:rPr>
        <w:t> </w:t>
      </w:r>
      <w:r>
        <w:rPr>
          <w:rStyle w:val="Appelnotedebasdep"/>
          <w:szCs w:val="28"/>
        </w:rPr>
        <w:footnoteReference w:id="1"/>
      </w:r>
      <w:r w:rsidRPr="000E03BC">
        <w:rPr>
          <w:szCs w:val="28"/>
        </w:rPr>
        <w:t xml:space="preserve">. Du </w:t>
      </w:r>
      <w:r w:rsidRPr="000E03BC">
        <w:rPr>
          <w:szCs w:val="28"/>
        </w:rPr>
        <w:lastRenderedPageBreak/>
        <w:t>partage de ces</w:t>
      </w:r>
      <w:bookmarkStart w:id="0" w:name="_GoBack"/>
      <w:bookmarkEnd w:id="0"/>
      <w:r w:rsidRPr="000E03BC">
        <w:rPr>
          <w:szCs w:val="28"/>
        </w:rPr>
        <w:t xml:space="preserve"> valeurs est née l’idée de publier dans « les Class</w:t>
      </w:r>
      <w:r w:rsidRPr="000E03BC">
        <w:rPr>
          <w:szCs w:val="28"/>
        </w:rPr>
        <w:t>i</w:t>
      </w:r>
      <w:r w:rsidRPr="000E03BC">
        <w:rPr>
          <w:szCs w:val="28"/>
        </w:rPr>
        <w:t>ques », à partir de travaux d’étudiants, des art</w:t>
      </w:r>
      <w:r w:rsidRPr="000E03BC">
        <w:rPr>
          <w:szCs w:val="28"/>
        </w:rPr>
        <w:t>i</w:t>
      </w:r>
      <w:r w:rsidRPr="000E03BC">
        <w:rPr>
          <w:szCs w:val="28"/>
        </w:rPr>
        <w:t>cles rédigés en commun par les auteurs desdits travaux et des universitaires. Le premier de ces art</w:t>
      </w:r>
      <w:r w:rsidRPr="000E03BC">
        <w:rPr>
          <w:szCs w:val="28"/>
        </w:rPr>
        <w:t>i</w:t>
      </w:r>
      <w:r w:rsidRPr="000E03BC">
        <w:rPr>
          <w:szCs w:val="28"/>
        </w:rPr>
        <w:t>cles, publié en 2021, a porté sur les travaux de master en Sciences de l’éducation</w:t>
      </w:r>
      <w:r>
        <w:rPr>
          <w:szCs w:val="28"/>
        </w:rPr>
        <w:t> </w:t>
      </w:r>
      <w:r>
        <w:rPr>
          <w:rStyle w:val="Appelnotedebasdep"/>
          <w:szCs w:val="28"/>
        </w:rPr>
        <w:footnoteReference w:id="2"/>
      </w:r>
      <w:r w:rsidRPr="000E03BC">
        <w:rPr>
          <w:szCs w:val="28"/>
        </w:rPr>
        <w:t xml:space="preserve"> de Louise Corbu relatif à l’inclusion en milieu scola</w:t>
      </w:r>
      <w:r w:rsidRPr="000E03BC">
        <w:rPr>
          <w:szCs w:val="28"/>
        </w:rPr>
        <w:t>i</w:t>
      </w:r>
      <w:r w:rsidRPr="000E03BC">
        <w:rPr>
          <w:szCs w:val="28"/>
        </w:rPr>
        <w:t>re des enfants en situation de handicap</w:t>
      </w:r>
      <w:r>
        <w:rPr>
          <w:szCs w:val="28"/>
        </w:rPr>
        <w:t> </w:t>
      </w:r>
      <w:r>
        <w:rPr>
          <w:rStyle w:val="Appelnotedebasdep"/>
          <w:szCs w:val="28"/>
        </w:rPr>
        <w:footnoteReference w:id="3"/>
      </w:r>
      <w:r w:rsidRPr="000E03BC">
        <w:rPr>
          <w:szCs w:val="28"/>
        </w:rPr>
        <w:t>. Les deux suivant, initiés par les travaux de Nina Veillard, traitent du harcèlement de rue. Celui-ci est le premier d’entre eux.</w:t>
      </w:r>
    </w:p>
    <w:p w14:paraId="306BF624" w14:textId="77777777" w:rsidR="00F3214B" w:rsidRDefault="00F3214B" w:rsidP="00F3214B">
      <w:pPr>
        <w:pBdr>
          <w:bottom w:val="single" w:sz="24" w:space="1" w:color="auto"/>
        </w:pBdr>
        <w:spacing w:before="120" w:after="120"/>
        <w:ind w:left="1440" w:right="1440" w:firstLine="0"/>
        <w:jc w:val="both"/>
        <w:rPr>
          <w:szCs w:val="28"/>
        </w:rPr>
      </w:pPr>
    </w:p>
    <w:p w14:paraId="38CE895D" w14:textId="77777777" w:rsidR="00F3214B" w:rsidRPr="000E03BC" w:rsidRDefault="00F3214B" w:rsidP="00F3214B">
      <w:pPr>
        <w:spacing w:before="120" w:after="120"/>
        <w:jc w:val="both"/>
        <w:rPr>
          <w:szCs w:val="28"/>
        </w:rPr>
      </w:pPr>
      <w:r w:rsidRPr="000E03BC">
        <w:rPr>
          <w:szCs w:val="28"/>
        </w:rPr>
        <w:br w:type="page"/>
      </w:r>
      <w:bookmarkStart w:id="1" w:name="_Hlk114663496"/>
      <w:r w:rsidRPr="000E03BC">
        <w:rPr>
          <w:szCs w:val="28"/>
        </w:rPr>
        <w:lastRenderedPageBreak/>
        <w:t>Article</w:t>
      </w:r>
    </w:p>
    <w:bookmarkEnd w:id="1"/>
    <w:p w14:paraId="667876CC" w14:textId="77777777" w:rsidR="00F3214B" w:rsidRDefault="00F3214B" w:rsidP="00F3214B">
      <w:pPr>
        <w:spacing w:before="120" w:after="120"/>
        <w:jc w:val="both"/>
        <w:rPr>
          <w:szCs w:val="28"/>
        </w:rPr>
      </w:pPr>
    </w:p>
    <w:p w14:paraId="36724AEC" w14:textId="77777777" w:rsidR="00F3214B" w:rsidRPr="000E03BC" w:rsidRDefault="00F3214B" w:rsidP="00F3214B">
      <w:pPr>
        <w:spacing w:before="120" w:after="120"/>
        <w:jc w:val="both"/>
        <w:rPr>
          <w:szCs w:val="28"/>
        </w:rPr>
      </w:pPr>
      <w:r w:rsidRPr="000E03BC">
        <w:rPr>
          <w:szCs w:val="28"/>
        </w:rPr>
        <w:t xml:space="preserve">La source originelle de cet article est le mémoire de Nina Veillard, </w:t>
      </w:r>
      <w:r w:rsidRPr="000E03BC">
        <w:rPr>
          <w:i/>
          <w:szCs w:val="28"/>
        </w:rPr>
        <w:t>« L’espace public comme terrain de chasse : zoom sur la problémat</w:t>
      </w:r>
      <w:r w:rsidRPr="000E03BC">
        <w:rPr>
          <w:i/>
          <w:szCs w:val="28"/>
        </w:rPr>
        <w:t>i</w:t>
      </w:r>
      <w:r w:rsidRPr="000E03BC">
        <w:rPr>
          <w:i/>
          <w:szCs w:val="28"/>
        </w:rPr>
        <w:t>que du ha</w:t>
      </w:r>
      <w:r w:rsidRPr="000E03BC">
        <w:rPr>
          <w:i/>
          <w:szCs w:val="28"/>
        </w:rPr>
        <w:t>r</w:t>
      </w:r>
      <w:r w:rsidRPr="000E03BC">
        <w:rPr>
          <w:i/>
          <w:szCs w:val="28"/>
        </w:rPr>
        <w:t>cèlement de rue »</w:t>
      </w:r>
      <w:r w:rsidRPr="000E03BC">
        <w:rPr>
          <w:szCs w:val="28"/>
        </w:rPr>
        <w:t>, travail réalisé sous la direction de Pierre Cabrol au cours de l’année universitaire 2021-2022 au sein du dépa</w:t>
      </w:r>
      <w:r w:rsidRPr="000E03BC">
        <w:rPr>
          <w:szCs w:val="28"/>
        </w:rPr>
        <w:t>r</w:t>
      </w:r>
      <w:r w:rsidRPr="000E03BC">
        <w:rPr>
          <w:szCs w:val="28"/>
        </w:rPr>
        <w:t>tement Carrières sociales de l’IUT Bordeaux Montaigne</w:t>
      </w:r>
      <w:r>
        <w:rPr>
          <w:szCs w:val="28"/>
        </w:rPr>
        <w:t> </w:t>
      </w:r>
      <w:r>
        <w:rPr>
          <w:rStyle w:val="Appelnotedebasdep"/>
          <w:szCs w:val="28"/>
        </w:rPr>
        <w:footnoteReference w:id="4"/>
      </w:r>
      <w:r w:rsidRPr="000E03BC">
        <w:rPr>
          <w:szCs w:val="28"/>
        </w:rPr>
        <w:t xml:space="preserve"> (France). L’ambition de ce travail est de montrer que la sanction du harcèlement de rue par </w:t>
      </w:r>
      <w:r w:rsidRPr="000E03BC">
        <w:t>la loi n° 2018-703 du 3 août 2018 re</w:t>
      </w:r>
      <w:r w:rsidRPr="000E03BC">
        <w:t>n</w:t>
      </w:r>
      <w:r w:rsidRPr="000E03BC">
        <w:t xml:space="preserve">forçant la lutte contre les violences sexuelles et sexistes, qui vient s’ajouter à un arsenal </w:t>
      </w:r>
      <w:proofErr w:type="gramStart"/>
      <w:r w:rsidRPr="000E03BC">
        <w:t>r</w:t>
      </w:r>
      <w:r w:rsidRPr="000E03BC">
        <w:t>é</w:t>
      </w:r>
      <w:r w:rsidRPr="000E03BC">
        <w:t>pressif  déjà</w:t>
      </w:r>
      <w:proofErr w:type="gramEnd"/>
      <w:r w:rsidRPr="000E03BC">
        <w:t xml:space="preserve"> particulièrement fourni, s’inscrit dans une logique pur</w:t>
      </w:r>
      <w:r w:rsidRPr="000E03BC">
        <w:t>e</w:t>
      </w:r>
      <w:r w:rsidRPr="000E03BC">
        <w:t>ment répressive vouée à l’échec tant que le dispositif législatif n’aura pas été complété par des mesures préventives.</w:t>
      </w:r>
    </w:p>
    <w:p w14:paraId="59B11F44" w14:textId="77777777" w:rsidR="00F3214B" w:rsidRPr="000E03BC" w:rsidRDefault="00F3214B" w:rsidP="00F3214B">
      <w:pPr>
        <w:spacing w:before="120" w:after="120"/>
        <w:jc w:val="both"/>
      </w:pPr>
      <w:r w:rsidRPr="000E03BC">
        <w:t>L’exposé des motifs, quelque peu maladroit</w:t>
      </w:r>
      <w:r>
        <w:rPr>
          <w:szCs w:val="28"/>
        </w:rPr>
        <w:t> </w:t>
      </w:r>
      <w:r>
        <w:rPr>
          <w:rStyle w:val="Appelnotedebasdep"/>
          <w:szCs w:val="28"/>
        </w:rPr>
        <w:footnoteReference w:id="5"/>
      </w:r>
      <w:r w:rsidRPr="000E03BC">
        <w:t xml:space="preserve">, de la loi n° 2018-703 du 3 août 2018 renforçant la lutte contre les violences sexuelles et sexistes indique, dans son sixième paragraphe, qu’il </w:t>
      </w:r>
      <w:r w:rsidRPr="000E03BC">
        <w:rPr>
          <w:i/>
        </w:rPr>
        <w:t>« convient, enfin, de réprimer le harcèlement dit « de rue » en instituant une contrave</w:t>
      </w:r>
      <w:r w:rsidRPr="000E03BC">
        <w:rPr>
          <w:i/>
        </w:rPr>
        <w:t>n</w:t>
      </w:r>
      <w:r w:rsidRPr="000E03BC">
        <w:rPr>
          <w:i/>
        </w:rPr>
        <w:t>tion pour outrage sexiste »,</w:t>
      </w:r>
      <w:r w:rsidRPr="000E03BC">
        <w:t xml:space="preserve"> ce qui const</w:t>
      </w:r>
      <w:r w:rsidRPr="000E03BC">
        <w:t>i</w:t>
      </w:r>
      <w:r w:rsidRPr="000E03BC">
        <w:t xml:space="preserve">tue un aveu clair de choix d’une réponse exclusivement répressive. Le même texte précise que : </w:t>
      </w:r>
      <w:r w:rsidRPr="000E03BC">
        <w:rPr>
          <w:i/>
        </w:rPr>
        <w:t>« La définition de l’outrage sexiste est directement inspirée de celle du délit de harcèlement sexuel, mais sans l’exigence de répétition des faits, qui interdit actuellement de réprimer des actes commis de façon isolée ».</w:t>
      </w:r>
      <w:r w:rsidRPr="000E03BC">
        <w:t xml:space="preserve"> La précision est importante. Elle montre que l’infraction d’outrage sexiste a été pensée par le législateur pour réprimer des agissements que l’infraction de ha</w:t>
      </w:r>
      <w:r w:rsidRPr="000E03BC">
        <w:t>r</w:t>
      </w:r>
      <w:r w:rsidRPr="000E03BC">
        <w:t>cèlement sexuel ne permettait pas de sanctionner, soit, plus précisément, des faits isolés qui échappent à l’emprise du harcèlement sexuel, dont la caractérisation exige la rép</w:t>
      </w:r>
      <w:r w:rsidRPr="000E03BC">
        <w:t>é</w:t>
      </w:r>
      <w:r w:rsidRPr="000E03BC">
        <w:t xml:space="preserve">tition. </w:t>
      </w:r>
    </w:p>
    <w:p w14:paraId="7B09643E" w14:textId="77777777" w:rsidR="00F3214B" w:rsidRPr="000E03BC" w:rsidRDefault="00F3214B" w:rsidP="00F3214B">
      <w:pPr>
        <w:spacing w:before="120" w:after="120"/>
        <w:jc w:val="both"/>
      </w:pPr>
      <w:r w:rsidRPr="000E03BC">
        <w:t>Cette nouvelle infraction vient grossir un arsenal répressif déjà pa</w:t>
      </w:r>
      <w:r w:rsidRPr="000E03BC">
        <w:t>r</w:t>
      </w:r>
      <w:r w:rsidRPr="000E03BC">
        <w:t>ticulièr</w:t>
      </w:r>
      <w:r w:rsidRPr="000E03BC">
        <w:t>e</w:t>
      </w:r>
      <w:r w:rsidRPr="000E03BC">
        <w:t xml:space="preserve">ment fourni, pour ne pas dire pléthorique, en matière d’atteinte sexuelle, notion englobant tout agissement répréhensible à </w:t>
      </w:r>
      <w:r w:rsidRPr="000E03BC">
        <w:lastRenderedPageBreak/>
        <w:t>caractère, en tout ou partie</w:t>
      </w:r>
      <w:r>
        <w:rPr>
          <w:szCs w:val="28"/>
        </w:rPr>
        <w:t> </w:t>
      </w:r>
      <w:r>
        <w:rPr>
          <w:rStyle w:val="Appelnotedebasdep"/>
          <w:szCs w:val="28"/>
        </w:rPr>
        <w:footnoteReference w:id="6"/>
      </w:r>
      <w:r w:rsidRPr="000E03BC">
        <w:t>, sexuel. La plus grave de ces infractions, qualifiée de crime, est le viol. Le législateur a prévu de distinguer e</w:t>
      </w:r>
      <w:r w:rsidRPr="000E03BC">
        <w:t>n</w:t>
      </w:r>
      <w:r w:rsidRPr="000E03BC">
        <w:t xml:space="preserve">tre différents types de viol. Le viol simple est </w:t>
      </w:r>
      <w:r w:rsidRPr="000E03BC">
        <w:rPr>
          <w:i/>
        </w:rPr>
        <w:t>« tout acte de pénétr</w:t>
      </w:r>
      <w:r w:rsidRPr="000E03BC">
        <w:rPr>
          <w:i/>
        </w:rPr>
        <w:t>a</w:t>
      </w:r>
      <w:r w:rsidRPr="000E03BC">
        <w:rPr>
          <w:i/>
        </w:rPr>
        <w:t>tion sexuelle, de quelque nature qu’il soit, ou tout acte bucco-génital, commis sur la personne d’autrui ou sur la personne de l’auteur par violence, contrainte, menace ou surprise</w:t>
      </w:r>
      <w:r>
        <w:rPr>
          <w:szCs w:val="28"/>
        </w:rPr>
        <w:t> </w:t>
      </w:r>
      <w:r>
        <w:rPr>
          <w:rStyle w:val="Appelnotedebasdep"/>
          <w:szCs w:val="28"/>
        </w:rPr>
        <w:footnoteReference w:id="7"/>
      </w:r>
      <w:r w:rsidRPr="000E03BC">
        <w:rPr>
          <w:i/>
        </w:rPr>
        <w:t> ».</w:t>
      </w:r>
      <w:r w:rsidRPr="000E03BC">
        <w:t xml:space="preserve">  Il est puni d’une peine maximale de quinze années de prison</w:t>
      </w:r>
      <w:r>
        <w:rPr>
          <w:szCs w:val="28"/>
        </w:rPr>
        <w:t> </w:t>
      </w:r>
      <w:r>
        <w:rPr>
          <w:rStyle w:val="Appelnotedebasdep"/>
          <w:szCs w:val="28"/>
        </w:rPr>
        <w:footnoteReference w:id="8"/>
      </w:r>
      <w:r w:rsidRPr="000E03BC">
        <w:t>. L’article 1 de la loi n°2021-478 du 21 avril 2021 a ajouté au Code pénal un article 222-23-1</w:t>
      </w:r>
      <w:r>
        <w:rPr>
          <w:szCs w:val="28"/>
        </w:rPr>
        <w:t> </w:t>
      </w:r>
      <w:r>
        <w:rPr>
          <w:rStyle w:val="Appelnotedebasdep"/>
          <w:szCs w:val="28"/>
        </w:rPr>
        <w:footnoteReference w:id="9"/>
      </w:r>
      <w:r w:rsidRPr="000E03BC">
        <w:t xml:space="preserve"> v</w:t>
      </w:r>
      <w:r w:rsidRPr="000E03BC">
        <w:t>i</w:t>
      </w:r>
      <w:r w:rsidRPr="000E03BC">
        <w:t>sant la commission d’un viol entre majeur et mineur pr</w:t>
      </w:r>
      <w:r w:rsidRPr="000E03BC">
        <w:t>é</w:t>
      </w:r>
      <w:r w:rsidRPr="000E03BC">
        <w:t>sentant une différence d’âge d’au moins cinq ans et un article 222-23-2</w:t>
      </w:r>
      <w:r>
        <w:rPr>
          <w:szCs w:val="28"/>
        </w:rPr>
        <w:t> </w:t>
      </w:r>
      <w:r>
        <w:rPr>
          <w:rStyle w:val="Appelnotedebasdep"/>
          <w:szCs w:val="28"/>
        </w:rPr>
        <w:footnoteReference w:id="10"/>
      </w:r>
      <w:r w:rsidRPr="000E03BC">
        <w:t xml:space="preserve"> visant l’hypothèse du viol incestueux, ce pour prévoir dans ces deux cas de figure, jugés particulièrement graves, un alourdissement de la san</w:t>
      </w:r>
      <w:r w:rsidRPr="000E03BC">
        <w:t>c</w:t>
      </w:r>
      <w:r w:rsidRPr="000E03BC">
        <w:t>tion, la peine maximale encourue étant portée à vingt années de pr</w:t>
      </w:r>
      <w:r w:rsidRPr="000E03BC">
        <w:t>i</w:t>
      </w:r>
      <w:r w:rsidRPr="000E03BC">
        <w:t>son</w:t>
      </w:r>
      <w:r>
        <w:rPr>
          <w:szCs w:val="28"/>
        </w:rPr>
        <w:t> </w:t>
      </w:r>
      <w:r>
        <w:rPr>
          <w:rStyle w:val="Appelnotedebasdep"/>
          <w:szCs w:val="28"/>
        </w:rPr>
        <w:footnoteReference w:id="11"/>
      </w:r>
      <w:r w:rsidRPr="000E03BC">
        <w:t>.</w:t>
      </w:r>
    </w:p>
    <w:p w14:paraId="325797FC" w14:textId="77777777" w:rsidR="00F3214B" w:rsidRPr="000E03BC" w:rsidRDefault="00F3214B" w:rsidP="00F3214B">
      <w:pPr>
        <w:spacing w:before="120" w:after="120"/>
        <w:jc w:val="both"/>
      </w:pPr>
      <w:r w:rsidRPr="000E03BC">
        <w:t>Le maximum de la peine encourue pour viol est également porté à vingt a</w:t>
      </w:r>
      <w:r w:rsidRPr="000E03BC">
        <w:t>n</w:t>
      </w:r>
      <w:r w:rsidRPr="000E03BC">
        <w:t>nées de réclusion criminelle lorsque le viol prévu à l’article 222-23 du Code pénal est accompagné de circonstances aggra</w:t>
      </w:r>
      <w:r w:rsidRPr="000E03BC">
        <w:lastRenderedPageBreak/>
        <w:t>va</w:t>
      </w:r>
      <w:r w:rsidRPr="000E03BC">
        <w:t>n</w:t>
      </w:r>
      <w:r w:rsidRPr="000E03BC">
        <w:t>tes</w:t>
      </w:r>
      <w:r>
        <w:t> </w:t>
      </w:r>
      <w:r>
        <w:rPr>
          <w:rStyle w:val="Appelnotedebasdep"/>
        </w:rPr>
        <w:footnoteReference w:id="12"/>
      </w:r>
      <w:r w:rsidRPr="000E03BC">
        <w:t>, passant ainsi du viol simple au vol aggravé. L’article 8 de la loi du 21 avril 2021 a porté la peine maximale encourue à trente ans de réclusion criminelle lorsque le viol a entraîné involo</w:t>
      </w:r>
      <w:r w:rsidRPr="000E03BC">
        <w:t>n</w:t>
      </w:r>
      <w:r w:rsidRPr="000E03BC">
        <w:t>tairement</w:t>
      </w:r>
      <w:r>
        <w:t> </w:t>
      </w:r>
      <w:r>
        <w:rPr>
          <w:rStyle w:val="Appelnotedebasdep"/>
        </w:rPr>
        <w:footnoteReference w:id="13"/>
      </w:r>
      <w:r w:rsidRPr="000E03BC">
        <w:t xml:space="preserve"> la mort de la victime</w:t>
      </w:r>
      <w:r>
        <w:t> </w:t>
      </w:r>
      <w:r>
        <w:rPr>
          <w:rStyle w:val="Appelnotedebasdep"/>
        </w:rPr>
        <w:footnoteReference w:id="14"/>
      </w:r>
      <w:r w:rsidRPr="000E03BC">
        <w:t> ; et à la réclusion criminelle à perpétuité lor</w:t>
      </w:r>
      <w:r w:rsidRPr="000E03BC">
        <w:t>s</w:t>
      </w:r>
      <w:r w:rsidRPr="000E03BC">
        <w:t>que le viol a été précédé, accompagné, ou suivi de tortures ou d’actes de barbarie</w:t>
      </w:r>
      <w:r>
        <w:t> </w:t>
      </w:r>
      <w:r>
        <w:rPr>
          <w:rStyle w:val="Appelnotedebasdep"/>
        </w:rPr>
        <w:footnoteReference w:id="15"/>
      </w:r>
      <w:r w:rsidRPr="000E03BC">
        <w:t xml:space="preserve">. Enfin, l’article 24 de la loi n°2020-936 du 30 juillet 2020 a ajouté au Code pénal un article visant à réprimer l’incitation au </w:t>
      </w:r>
      <w:r w:rsidRPr="000E03BC">
        <w:lastRenderedPageBreak/>
        <w:t>viol</w:t>
      </w:r>
      <w:r>
        <w:t> </w:t>
      </w:r>
      <w:r>
        <w:rPr>
          <w:rStyle w:val="Appelnotedebasdep"/>
        </w:rPr>
        <w:footnoteReference w:id="16"/>
      </w:r>
      <w:r w:rsidRPr="000E03BC">
        <w:t>, tandis que l’article 3 de la loi n°2022-52 du 24 janvier 2022</w:t>
      </w:r>
      <w:r>
        <w:t> </w:t>
      </w:r>
      <w:r>
        <w:rPr>
          <w:rStyle w:val="Appelnotedebasdep"/>
        </w:rPr>
        <w:footnoteReference w:id="17"/>
      </w:r>
      <w:r w:rsidRPr="000E03BC">
        <w:t xml:space="preserve"> a créé un article destiné à permettre de sanctionner l’auteur d’un viol déclaré pénalement irresponsable en raison d’un trouble psychique ou neuro</w:t>
      </w:r>
      <w:r w:rsidRPr="000E03BC">
        <w:t>p</w:t>
      </w:r>
      <w:r w:rsidRPr="000E03BC">
        <w:t xml:space="preserve">sychique temporaire au moment des faits, lorsque celui-ci avait consommé, en connaissance des risques, </w:t>
      </w:r>
      <w:r w:rsidRPr="000E03BC">
        <w:rPr>
          <w:i/>
        </w:rPr>
        <w:t>« de façon illicite ou man</w:t>
      </w:r>
      <w:r w:rsidRPr="000E03BC">
        <w:rPr>
          <w:i/>
        </w:rPr>
        <w:t>i</w:t>
      </w:r>
      <w:r w:rsidRPr="000E03BC">
        <w:rPr>
          <w:i/>
        </w:rPr>
        <w:t>festement excessive, des substances psychoact</w:t>
      </w:r>
      <w:r w:rsidRPr="000E03BC">
        <w:rPr>
          <w:i/>
        </w:rPr>
        <w:t>i</w:t>
      </w:r>
      <w:r w:rsidRPr="000E03BC">
        <w:rPr>
          <w:i/>
        </w:rPr>
        <w:t>ves »</w:t>
      </w:r>
      <w:r>
        <w:t> </w:t>
      </w:r>
      <w:r>
        <w:rPr>
          <w:rStyle w:val="Appelnotedebasdep"/>
        </w:rPr>
        <w:footnoteReference w:id="18"/>
      </w:r>
      <w:r w:rsidRPr="000E03BC">
        <w:rPr>
          <w:i/>
        </w:rPr>
        <w:t>.</w:t>
      </w:r>
    </w:p>
    <w:p w14:paraId="656E62F4" w14:textId="77777777" w:rsidR="00F3214B" w:rsidRPr="000E03BC" w:rsidRDefault="00F3214B" w:rsidP="00F3214B">
      <w:pPr>
        <w:spacing w:before="120" w:after="120"/>
        <w:jc w:val="both"/>
        <w:rPr>
          <w:i/>
          <w:color w:val="000000"/>
          <w:szCs w:val="24"/>
          <w:lang w:eastAsia="fr-FR"/>
        </w:rPr>
      </w:pPr>
      <w:r w:rsidRPr="000E03BC">
        <w:t>En dessous du viol dans l’échelle de la gravité des faits et donc des peines, prennent place, au rang des délits, l’agression sexuelle sur m</w:t>
      </w:r>
      <w:r w:rsidRPr="000E03BC">
        <w:t>a</w:t>
      </w:r>
      <w:r w:rsidRPr="000E03BC">
        <w:t>jeur et sur mineur, l’exhibition sexuelle et le harcèlement sexuel. S</w:t>
      </w:r>
      <w:r w:rsidRPr="000E03BC">
        <w:t>e</w:t>
      </w:r>
      <w:r w:rsidRPr="000E03BC">
        <w:t>lon l’article 222-22 du code pénal</w:t>
      </w:r>
      <w:r>
        <w:t> </w:t>
      </w:r>
      <w:r>
        <w:rPr>
          <w:rStyle w:val="Appelnotedebasdep"/>
        </w:rPr>
        <w:footnoteReference w:id="19"/>
      </w:r>
      <w:r w:rsidRPr="000E03BC">
        <w:t xml:space="preserve">, </w:t>
      </w:r>
      <w:r w:rsidRPr="000E03BC">
        <w:rPr>
          <w:i/>
        </w:rPr>
        <w:t xml:space="preserve">« constitue une agression </w:t>
      </w:r>
      <w:r w:rsidRPr="000E03BC">
        <w:rPr>
          <w:i/>
        </w:rPr>
        <w:lastRenderedPageBreak/>
        <w:t>sexue</w:t>
      </w:r>
      <w:r w:rsidRPr="000E03BC">
        <w:rPr>
          <w:i/>
        </w:rPr>
        <w:t>l</w:t>
      </w:r>
      <w:r w:rsidRPr="000E03BC">
        <w:rPr>
          <w:i/>
        </w:rPr>
        <w:t xml:space="preserve">le toute </w:t>
      </w:r>
      <w:r w:rsidRPr="000E03BC">
        <w:rPr>
          <w:i/>
          <w:color w:val="000000"/>
          <w:szCs w:val="24"/>
          <w:lang w:eastAsia="fr-FR"/>
        </w:rPr>
        <w:t>atteinte sexuelle commise avec violence, contrainte</w:t>
      </w:r>
      <w:r>
        <w:t> </w:t>
      </w:r>
      <w:r>
        <w:rPr>
          <w:rStyle w:val="Appelnotedebasdep"/>
        </w:rPr>
        <w:footnoteReference w:id="20"/>
      </w:r>
      <w:r w:rsidRPr="000E03BC">
        <w:rPr>
          <w:i/>
          <w:color w:val="000000"/>
          <w:szCs w:val="24"/>
          <w:lang w:eastAsia="fr-FR"/>
        </w:rPr>
        <w:t>, m</w:t>
      </w:r>
      <w:r w:rsidRPr="000E03BC">
        <w:rPr>
          <w:i/>
          <w:color w:val="000000"/>
          <w:szCs w:val="24"/>
          <w:lang w:eastAsia="fr-FR"/>
        </w:rPr>
        <w:t>e</w:t>
      </w:r>
      <w:r w:rsidRPr="000E03BC">
        <w:rPr>
          <w:i/>
          <w:color w:val="000000"/>
          <w:szCs w:val="24"/>
          <w:lang w:eastAsia="fr-FR"/>
        </w:rPr>
        <w:t>nace ou surprise ou, dans les cas prévus par la loi, commise sur un mineur par un majeur ».</w:t>
      </w:r>
      <w:r w:rsidRPr="000E03BC">
        <w:rPr>
          <w:color w:val="000000"/>
          <w:szCs w:val="24"/>
          <w:lang w:eastAsia="fr-FR"/>
        </w:rPr>
        <w:t xml:space="preserve"> S’agissant d’une victime mineure, la contrainte ou la surprise, </w:t>
      </w:r>
      <w:r w:rsidRPr="000E03BC">
        <w:rPr>
          <w:i/>
          <w:color w:val="000000"/>
          <w:szCs w:val="24"/>
          <w:lang w:eastAsia="fr-FR"/>
        </w:rPr>
        <w:t>« peuvent résulter de la différence d'âge existant entre la vi</w:t>
      </w:r>
      <w:r w:rsidRPr="000E03BC">
        <w:rPr>
          <w:i/>
          <w:color w:val="000000"/>
          <w:szCs w:val="24"/>
          <w:lang w:eastAsia="fr-FR"/>
        </w:rPr>
        <w:t>c</w:t>
      </w:r>
      <w:r w:rsidRPr="000E03BC">
        <w:rPr>
          <w:i/>
          <w:color w:val="000000"/>
          <w:szCs w:val="24"/>
          <w:lang w:eastAsia="fr-FR"/>
        </w:rPr>
        <w:t>time et l'auteur des faits</w:t>
      </w:r>
      <w:r>
        <w:t> </w:t>
      </w:r>
      <w:r>
        <w:rPr>
          <w:rStyle w:val="Appelnotedebasdep"/>
        </w:rPr>
        <w:footnoteReference w:id="21"/>
      </w:r>
      <w:r w:rsidRPr="000E03BC">
        <w:rPr>
          <w:i/>
          <w:color w:val="000000"/>
          <w:szCs w:val="24"/>
          <w:lang w:eastAsia="fr-FR"/>
        </w:rPr>
        <w:t xml:space="preserve"> et de l'autorité de droit ou de fait que c</w:t>
      </w:r>
      <w:r w:rsidRPr="000E03BC">
        <w:rPr>
          <w:i/>
          <w:color w:val="000000"/>
          <w:szCs w:val="24"/>
          <w:lang w:eastAsia="fr-FR"/>
        </w:rPr>
        <w:t>e</w:t>
      </w:r>
      <w:r w:rsidRPr="000E03BC">
        <w:rPr>
          <w:i/>
          <w:color w:val="000000"/>
          <w:szCs w:val="24"/>
          <w:lang w:eastAsia="fr-FR"/>
        </w:rPr>
        <w:t>lui-ci a sur la victime, cette autorité de fait po</w:t>
      </w:r>
      <w:r w:rsidRPr="000E03BC">
        <w:rPr>
          <w:i/>
          <w:color w:val="000000"/>
          <w:szCs w:val="24"/>
          <w:lang w:eastAsia="fr-FR"/>
        </w:rPr>
        <w:t>u</w:t>
      </w:r>
      <w:r w:rsidRPr="000E03BC">
        <w:rPr>
          <w:i/>
          <w:color w:val="000000"/>
          <w:szCs w:val="24"/>
          <w:lang w:eastAsia="fr-FR"/>
        </w:rPr>
        <w:t>vant être caractérisée par une différence d'âge significative entre la victime mineure et l'a</w:t>
      </w:r>
      <w:r w:rsidRPr="000E03BC">
        <w:rPr>
          <w:i/>
          <w:color w:val="000000"/>
          <w:szCs w:val="24"/>
          <w:lang w:eastAsia="fr-FR"/>
        </w:rPr>
        <w:t>u</w:t>
      </w:r>
      <w:r w:rsidRPr="000E03BC">
        <w:rPr>
          <w:i/>
          <w:color w:val="000000"/>
          <w:szCs w:val="24"/>
          <w:lang w:eastAsia="fr-FR"/>
        </w:rPr>
        <w:t>teur majeur »</w:t>
      </w:r>
      <w:r>
        <w:t> </w:t>
      </w:r>
      <w:r>
        <w:rPr>
          <w:rStyle w:val="Appelnotedebasdep"/>
        </w:rPr>
        <w:footnoteReference w:id="22"/>
      </w:r>
      <w:r w:rsidRPr="000E03BC">
        <w:rPr>
          <w:i/>
          <w:color w:val="000000"/>
          <w:szCs w:val="24"/>
          <w:lang w:eastAsia="fr-FR"/>
        </w:rPr>
        <w:t>.</w:t>
      </w:r>
      <w:r w:rsidRPr="000E03BC">
        <w:rPr>
          <w:color w:val="000000"/>
          <w:szCs w:val="24"/>
          <w:lang w:eastAsia="fr-FR"/>
        </w:rPr>
        <w:t xml:space="preserve"> L’article 222-2-2 du Code pénal sanctionne égal</w:t>
      </w:r>
      <w:r w:rsidRPr="000E03BC">
        <w:rPr>
          <w:color w:val="000000"/>
          <w:szCs w:val="24"/>
          <w:lang w:eastAsia="fr-FR"/>
        </w:rPr>
        <w:t>e</w:t>
      </w:r>
      <w:r w:rsidRPr="000E03BC">
        <w:rPr>
          <w:color w:val="000000"/>
          <w:szCs w:val="24"/>
          <w:lang w:eastAsia="fr-FR"/>
        </w:rPr>
        <w:t xml:space="preserve">ment </w:t>
      </w:r>
      <w:r w:rsidRPr="000E03BC">
        <w:rPr>
          <w:i/>
          <w:color w:val="000000"/>
          <w:szCs w:val="24"/>
          <w:lang w:eastAsia="fr-FR"/>
        </w:rPr>
        <w:t>« le fait d'imposer à une personne, par violence, contrainte, m</w:t>
      </w:r>
      <w:r w:rsidRPr="000E03BC">
        <w:rPr>
          <w:i/>
          <w:color w:val="000000"/>
          <w:szCs w:val="24"/>
          <w:lang w:eastAsia="fr-FR"/>
        </w:rPr>
        <w:t>e</w:t>
      </w:r>
      <w:r w:rsidRPr="000E03BC">
        <w:rPr>
          <w:i/>
          <w:color w:val="000000"/>
          <w:szCs w:val="24"/>
          <w:lang w:eastAsia="fr-FR"/>
        </w:rPr>
        <w:t>nace ou surprise, le fait de subir une atteinte sexue</w:t>
      </w:r>
      <w:r w:rsidRPr="000E03BC">
        <w:rPr>
          <w:i/>
          <w:color w:val="000000"/>
          <w:szCs w:val="24"/>
          <w:lang w:eastAsia="fr-FR"/>
        </w:rPr>
        <w:t>l</w:t>
      </w:r>
      <w:r w:rsidRPr="000E03BC">
        <w:rPr>
          <w:i/>
          <w:color w:val="000000"/>
          <w:szCs w:val="24"/>
          <w:lang w:eastAsia="fr-FR"/>
        </w:rPr>
        <w:t>le de la part d'un tiers »,</w:t>
      </w:r>
      <w:r w:rsidRPr="000E03BC">
        <w:rPr>
          <w:color w:val="000000"/>
          <w:szCs w:val="24"/>
          <w:lang w:eastAsia="fr-FR"/>
        </w:rPr>
        <w:t xml:space="preserve"> ainsi que la tentative de commettre ce délit.</w:t>
      </w:r>
    </w:p>
    <w:p w14:paraId="56D7249F" w14:textId="77777777" w:rsidR="00F3214B" w:rsidRPr="000E03BC" w:rsidRDefault="00F3214B" w:rsidP="00F3214B">
      <w:pPr>
        <w:spacing w:before="120" w:after="120"/>
        <w:jc w:val="both"/>
        <w:rPr>
          <w:color w:val="000000"/>
          <w:szCs w:val="24"/>
          <w:lang w:eastAsia="fr-FR"/>
        </w:rPr>
      </w:pPr>
      <w:r w:rsidRPr="000E03BC">
        <w:rPr>
          <w:color w:val="000000"/>
          <w:szCs w:val="24"/>
          <w:lang w:eastAsia="fr-FR"/>
        </w:rPr>
        <w:t>Selon l’article 222-27 du Code pénal</w:t>
      </w:r>
      <w:r>
        <w:t> </w:t>
      </w:r>
      <w:r>
        <w:rPr>
          <w:rStyle w:val="Appelnotedebasdep"/>
        </w:rPr>
        <w:footnoteReference w:id="23"/>
      </w:r>
      <w:r w:rsidRPr="000E03BC">
        <w:rPr>
          <w:color w:val="000000"/>
          <w:szCs w:val="24"/>
          <w:lang w:eastAsia="fr-FR"/>
        </w:rPr>
        <w:t xml:space="preserve"> : </w:t>
      </w:r>
      <w:r w:rsidRPr="000E03BC">
        <w:rPr>
          <w:i/>
          <w:color w:val="000000"/>
          <w:szCs w:val="24"/>
          <w:lang w:eastAsia="fr-FR"/>
        </w:rPr>
        <w:t>« Les agressions sexue</w:t>
      </w:r>
      <w:r w:rsidRPr="000E03BC">
        <w:rPr>
          <w:i/>
          <w:color w:val="000000"/>
          <w:szCs w:val="24"/>
          <w:lang w:eastAsia="fr-FR"/>
        </w:rPr>
        <w:t>l</w:t>
      </w:r>
      <w:r w:rsidRPr="000E03BC">
        <w:rPr>
          <w:i/>
          <w:color w:val="000000"/>
          <w:szCs w:val="24"/>
          <w:lang w:eastAsia="fr-FR"/>
        </w:rPr>
        <w:t>les autres que le viol sont punies de cinq ans d'emprisonnement et de 75 000 euros d'amende ».</w:t>
      </w:r>
      <w:r w:rsidRPr="000E03BC">
        <w:rPr>
          <w:color w:val="000000"/>
          <w:szCs w:val="24"/>
          <w:lang w:eastAsia="fr-FR"/>
        </w:rPr>
        <w:t xml:space="preserve"> En cas de circonstances aggravantes</w:t>
      </w:r>
      <w:r>
        <w:t> </w:t>
      </w:r>
      <w:r>
        <w:rPr>
          <w:rStyle w:val="Appelnotedebasdep"/>
        </w:rPr>
        <w:footnoteReference w:id="24"/>
      </w:r>
      <w:r w:rsidRPr="000E03BC">
        <w:rPr>
          <w:color w:val="000000"/>
          <w:szCs w:val="24"/>
          <w:lang w:eastAsia="fr-FR"/>
        </w:rPr>
        <w:t>, la peine est portée à sept ans d'emprisonnement et 100</w:t>
      </w:r>
      <w:r>
        <w:rPr>
          <w:color w:val="000000"/>
          <w:szCs w:val="24"/>
          <w:lang w:eastAsia="fr-FR"/>
        </w:rPr>
        <w:t> </w:t>
      </w:r>
      <w:r w:rsidRPr="000E03BC">
        <w:rPr>
          <w:color w:val="000000"/>
          <w:szCs w:val="24"/>
          <w:lang w:eastAsia="fr-FR"/>
        </w:rPr>
        <w:t xml:space="preserve">000 </w:t>
      </w:r>
      <w:r w:rsidRPr="000E03BC">
        <w:rPr>
          <w:color w:val="000000"/>
          <w:szCs w:val="24"/>
          <w:lang w:eastAsia="fr-FR"/>
        </w:rPr>
        <w:lastRenderedPageBreak/>
        <w:t>euros d'amende. La même peine est encourue lorsque les agressions sexue</w:t>
      </w:r>
      <w:r w:rsidRPr="000E03BC">
        <w:rPr>
          <w:color w:val="000000"/>
          <w:szCs w:val="24"/>
          <w:lang w:eastAsia="fr-FR"/>
        </w:rPr>
        <w:t>l</w:t>
      </w:r>
      <w:r w:rsidRPr="000E03BC">
        <w:rPr>
          <w:color w:val="000000"/>
          <w:szCs w:val="24"/>
          <w:lang w:eastAsia="fr-FR"/>
        </w:rPr>
        <w:t xml:space="preserve">les sont </w:t>
      </w:r>
      <w:r w:rsidRPr="000E03BC">
        <w:rPr>
          <w:i/>
          <w:color w:val="000000"/>
          <w:szCs w:val="24"/>
          <w:lang w:eastAsia="fr-FR"/>
        </w:rPr>
        <w:t>« imposées à une personne dont la partic</w:t>
      </w:r>
      <w:r w:rsidRPr="000E03BC">
        <w:rPr>
          <w:i/>
          <w:color w:val="000000"/>
          <w:szCs w:val="24"/>
          <w:lang w:eastAsia="fr-FR"/>
        </w:rPr>
        <w:t>u</w:t>
      </w:r>
      <w:r w:rsidRPr="000E03BC">
        <w:rPr>
          <w:i/>
          <w:color w:val="000000"/>
          <w:szCs w:val="24"/>
          <w:lang w:eastAsia="fr-FR"/>
        </w:rPr>
        <w:t>lière vulnérabilité due à son âge, à une maladie, à une infirmité, à une déficience phys</w:t>
      </w:r>
      <w:r w:rsidRPr="000E03BC">
        <w:rPr>
          <w:i/>
          <w:color w:val="000000"/>
          <w:szCs w:val="24"/>
          <w:lang w:eastAsia="fr-FR"/>
        </w:rPr>
        <w:t>i</w:t>
      </w:r>
      <w:r w:rsidRPr="000E03BC">
        <w:rPr>
          <w:i/>
          <w:color w:val="000000"/>
          <w:szCs w:val="24"/>
          <w:lang w:eastAsia="fr-FR"/>
        </w:rPr>
        <w:t>que ou psychique ou à un état de grossesse ou résultant de la précar</w:t>
      </w:r>
      <w:r w:rsidRPr="000E03BC">
        <w:rPr>
          <w:i/>
          <w:color w:val="000000"/>
          <w:szCs w:val="24"/>
          <w:lang w:eastAsia="fr-FR"/>
        </w:rPr>
        <w:t>i</w:t>
      </w:r>
      <w:r w:rsidRPr="000E03BC">
        <w:rPr>
          <w:i/>
          <w:color w:val="000000"/>
          <w:szCs w:val="24"/>
          <w:lang w:eastAsia="fr-FR"/>
        </w:rPr>
        <w:t>té de sa s</w:t>
      </w:r>
      <w:r w:rsidRPr="000E03BC">
        <w:rPr>
          <w:i/>
          <w:color w:val="000000"/>
          <w:szCs w:val="24"/>
          <w:lang w:eastAsia="fr-FR"/>
        </w:rPr>
        <w:t>i</w:t>
      </w:r>
      <w:r w:rsidRPr="000E03BC">
        <w:rPr>
          <w:i/>
          <w:color w:val="000000"/>
          <w:szCs w:val="24"/>
          <w:lang w:eastAsia="fr-FR"/>
        </w:rPr>
        <w:t>tuation économique ou sociale est apparente ou connue de son a</w:t>
      </w:r>
      <w:r w:rsidRPr="000E03BC">
        <w:rPr>
          <w:i/>
          <w:color w:val="000000"/>
          <w:szCs w:val="24"/>
          <w:lang w:eastAsia="fr-FR"/>
        </w:rPr>
        <w:t>u</w:t>
      </w:r>
      <w:r w:rsidRPr="000E03BC">
        <w:rPr>
          <w:i/>
          <w:color w:val="000000"/>
          <w:szCs w:val="24"/>
          <w:lang w:eastAsia="fr-FR"/>
        </w:rPr>
        <w:t>teur »</w:t>
      </w:r>
      <w:r>
        <w:t> </w:t>
      </w:r>
      <w:r>
        <w:rPr>
          <w:rStyle w:val="Appelnotedebasdep"/>
        </w:rPr>
        <w:footnoteReference w:id="25"/>
      </w:r>
      <w:r w:rsidRPr="000E03BC">
        <w:rPr>
          <w:i/>
          <w:color w:val="000000"/>
          <w:szCs w:val="24"/>
          <w:lang w:eastAsia="fr-FR"/>
        </w:rPr>
        <w:t xml:space="preserve">. </w:t>
      </w:r>
      <w:r w:rsidRPr="000E03BC">
        <w:rPr>
          <w:color w:val="000000"/>
          <w:szCs w:val="24"/>
          <w:lang w:eastAsia="fr-FR"/>
        </w:rPr>
        <w:t>L’article 222-30 du Code pénal porte cette peine à dix ans d’emprisonnement et 150</w:t>
      </w:r>
      <w:r>
        <w:rPr>
          <w:color w:val="000000"/>
          <w:szCs w:val="24"/>
          <w:lang w:eastAsia="fr-FR"/>
        </w:rPr>
        <w:t> </w:t>
      </w:r>
      <w:r w:rsidRPr="000E03BC">
        <w:rPr>
          <w:color w:val="000000"/>
          <w:szCs w:val="24"/>
          <w:lang w:eastAsia="fr-FR"/>
        </w:rPr>
        <w:t>0</w:t>
      </w:r>
      <w:r>
        <w:rPr>
          <w:color w:val="000000"/>
          <w:szCs w:val="24"/>
          <w:lang w:eastAsia="fr-FR"/>
        </w:rPr>
        <w:t>0</w:t>
      </w:r>
      <w:r w:rsidRPr="000E03BC">
        <w:rPr>
          <w:color w:val="000000"/>
          <w:szCs w:val="24"/>
          <w:lang w:eastAsia="fr-FR"/>
        </w:rPr>
        <w:t>0 euros d’amende si les faits co</w:t>
      </w:r>
      <w:r w:rsidRPr="000E03BC">
        <w:rPr>
          <w:color w:val="000000"/>
          <w:szCs w:val="24"/>
          <w:lang w:eastAsia="fr-FR"/>
        </w:rPr>
        <w:t>m</w:t>
      </w:r>
      <w:r w:rsidRPr="000E03BC">
        <w:rPr>
          <w:color w:val="000000"/>
          <w:szCs w:val="24"/>
          <w:lang w:eastAsia="fr-FR"/>
        </w:rPr>
        <w:t>mis à l’encontre de la personne particulièrement vulnérable ont été a</w:t>
      </w:r>
      <w:r w:rsidRPr="000E03BC">
        <w:rPr>
          <w:color w:val="000000"/>
          <w:szCs w:val="24"/>
          <w:lang w:eastAsia="fr-FR"/>
        </w:rPr>
        <w:t>c</w:t>
      </w:r>
      <w:r w:rsidRPr="000E03BC">
        <w:rPr>
          <w:color w:val="000000"/>
          <w:szCs w:val="24"/>
          <w:lang w:eastAsia="fr-FR"/>
        </w:rPr>
        <w:t>compagnées de circonstances aggravantes</w:t>
      </w:r>
      <w:r>
        <w:t> </w:t>
      </w:r>
      <w:r>
        <w:rPr>
          <w:rStyle w:val="Appelnotedebasdep"/>
        </w:rPr>
        <w:footnoteReference w:id="26"/>
      </w:r>
      <w:r w:rsidRPr="000E03BC">
        <w:rPr>
          <w:color w:val="000000"/>
          <w:szCs w:val="24"/>
          <w:lang w:eastAsia="fr-FR"/>
        </w:rPr>
        <w:t>.</w:t>
      </w:r>
    </w:p>
    <w:p w14:paraId="16A4DCE1" w14:textId="77777777" w:rsidR="00F3214B" w:rsidRPr="000E03BC" w:rsidRDefault="00F3214B" w:rsidP="00F3214B">
      <w:pPr>
        <w:spacing w:before="120" w:after="120"/>
        <w:jc w:val="both"/>
        <w:rPr>
          <w:color w:val="000000"/>
          <w:szCs w:val="24"/>
          <w:lang w:eastAsia="fr-FR"/>
        </w:rPr>
      </w:pPr>
      <w:r w:rsidRPr="000E03BC">
        <w:rPr>
          <w:color w:val="000000"/>
          <w:szCs w:val="24"/>
          <w:lang w:eastAsia="fr-FR"/>
        </w:rPr>
        <w:t xml:space="preserve">Une peine similaire est encourue lorsque les agressions sexuelles </w:t>
      </w:r>
      <w:r w:rsidRPr="000E03BC">
        <w:rPr>
          <w:i/>
          <w:color w:val="000000"/>
          <w:szCs w:val="24"/>
          <w:lang w:eastAsia="fr-FR"/>
        </w:rPr>
        <w:t>« sont i</w:t>
      </w:r>
      <w:r w:rsidRPr="000E03BC">
        <w:rPr>
          <w:i/>
          <w:color w:val="000000"/>
          <w:szCs w:val="24"/>
          <w:lang w:eastAsia="fr-FR"/>
        </w:rPr>
        <w:t>m</w:t>
      </w:r>
      <w:r w:rsidRPr="000E03BC">
        <w:rPr>
          <w:i/>
          <w:color w:val="000000"/>
          <w:szCs w:val="24"/>
          <w:lang w:eastAsia="fr-FR"/>
        </w:rPr>
        <w:t>posées à un mineur de quinze ans par violence, contrainte, menace ou surprise »</w:t>
      </w:r>
      <w:r>
        <w:t> </w:t>
      </w:r>
      <w:r>
        <w:rPr>
          <w:rStyle w:val="Appelnotedebasdep"/>
        </w:rPr>
        <w:footnoteReference w:id="27"/>
      </w:r>
      <w:r w:rsidRPr="000E03BC">
        <w:rPr>
          <w:i/>
          <w:color w:val="000000"/>
          <w:szCs w:val="24"/>
          <w:lang w:eastAsia="fr-FR"/>
        </w:rPr>
        <w:t>,</w:t>
      </w:r>
      <w:r w:rsidRPr="000E03BC">
        <w:rPr>
          <w:color w:val="000000"/>
          <w:szCs w:val="24"/>
          <w:lang w:eastAsia="fr-FR"/>
        </w:rPr>
        <w:t xml:space="preserve"> ainsi que pour </w:t>
      </w:r>
      <w:r w:rsidRPr="000E03BC">
        <w:rPr>
          <w:i/>
          <w:color w:val="000000"/>
          <w:szCs w:val="24"/>
          <w:lang w:eastAsia="fr-FR"/>
        </w:rPr>
        <w:t>« toute atteinte sexuelle a</w:t>
      </w:r>
      <w:r w:rsidRPr="000E03BC">
        <w:rPr>
          <w:i/>
          <w:color w:val="000000"/>
          <w:szCs w:val="24"/>
          <w:lang w:eastAsia="fr-FR"/>
        </w:rPr>
        <w:t>u</w:t>
      </w:r>
      <w:r w:rsidRPr="000E03BC">
        <w:rPr>
          <w:i/>
          <w:color w:val="000000"/>
          <w:szCs w:val="24"/>
          <w:lang w:eastAsia="fr-FR"/>
        </w:rPr>
        <w:t>tre qu'un viol commise par un majeur sur la personne d'un mineur de quinze ans », « lorsque la différence d'âge entre le majeur et le m</w:t>
      </w:r>
      <w:r w:rsidRPr="000E03BC">
        <w:rPr>
          <w:i/>
          <w:color w:val="000000"/>
          <w:szCs w:val="24"/>
          <w:lang w:eastAsia="fr-FR"/>
        </w:rPr>
        <w:t>i</w:t>
      </w:r>
      <w:r w:rsidRPr="000E03BC">
        <w:rPr>
          <w:i/>
          <w:color w:val="000000"/>
          <w:szCs w:val="24"/>
          <w:lang w:eastAsia="fr-FR"/>
        </w:rPr>
        <w:t>neur est d'au moins cinq ans »</w:t>
      </w:r>
      <w:r w:rsidRPr="000E03BC">
        <w:rPr>
          <w:color w:val="000000"/>
          <w:szCs w:val="24"/>
          <w:lang w:eastAsia="fr-FR"/>
        </w:rPr>
        <w:t xml:space="preserve"> ou lorsque </w:t>
      </w:r>
      <w:r w:rsidRPr="000E03BC">
        <w:rPr>
          <w:i/>
          <w:color w:val="000000"/>
          <w:szCs w:val="24"/>
          <w:lang w:eastAsia="fr-FR"/>
        </w:rPr>
        <w:t>« les faits ont été commis en échange d'une rémunération, d'une promesse de rémun</w:t>
      </w:r>
      <w:r w:rsidRPr="000E03BC">
        <w:rPr>
          <w:i/>
          <w:color w:val="000000"/>
          <w:szCs w:val="24"/>
          <w:lang w:eastAsia="fr-FR"/>
        </w:rPr>
        <w:t>é</w:t>
      </w:r>
      <w:r w:rsidRPr="000E03BC">
        <w:rPr>
          <w:i/>
          <w:color w:val="000000"/>
          <w:szCs w:val="24"/>
          <w:lang w:eastAsia="fr-FR"/>
        </w:rPr>
        <w:t>ration, de la fourniture d'un avantage en nature ou de la promesse d'un tel avant</w:t>
      </w:r>
      <w:r w:rsidRPr="000E03BC">
        <w:rPr>
          <w:i/>
          <w:color w:val="000000"/>
          <w:szCs w:val="24"/>
          <w:lang w:eastAsia="fr-FR"/>
        </w:rPr>
        <w:t>a</w:t>
      </w:r>
      <w:r w:rsidRPr="000E03BC">
        <w:rPr>
          <w:i/>
          <w:color w:val="000000"/>
          <w:szCs w:val="24"/>
          <w:lang w:eastAsia="fr-FR"/>
        </w:rPr>
        <w:t>ge »</w:t>
      </w:r>
      <w:r>
        <w:t> </w:t>
      </w:r>
      <w:r>
        <w:rPr>
          <w:rStyle w:val="Appelnotedebasdep"/>
        </w:rPr>
        <w:footnoteReference w:id="28"/>
      </w:r>
      <w:r w:rsidRPr="000E03BC">
        <w:rPr>
          <w:i/>
          <w:color w:val="000000"/>
          <w:szCs w:val="24"/>
          <w:lang w:eastAsia="fr-FR"/>
        </w:rPr>
        <w:t xml:space="preserve"> </w:t>
      </w:r>
      <w:r w:rsidRPr="000E03BC">
        <w:rPr>
          <w:color w:val="000000"/>
          <w:szCs w:val="24"/>
          <w:lang w:eastAsia="fr-FR"/>
        </w:rPr>
        <w:t>et</w:t>
      </w:r>
      <w:r w:rsidRPr="000E03BC">
        <w:rPr>
          <w:i/>
          <w:color w:val="000000"/>
          <w:szCs w:val="24"/>
          <w:lang w:eastAsia="fr-FR"/>
        </w:rPr>
        <w:t xml:space="preserve"> </w:t>
      </w:r>
      <w:r w:rsidRPr="000E03BC">
        <w:rPr>
          <w:color w:val="000000"/>
          <w:szCs w:val="24"/>
          <w:lang w:eastAsia="fr-FR"/>
        </w:rPr>
        <w:t xml:space="preserve">lorsque </w:t>
      </w:r>
      <w:r w:rsidRPr="000E03BC">
        <w:rPr>
          <w:i/>
          <w:color w:val="000000"/>
          <w:szCs w:val="24"/>
          <w:lang w:eastAsia="fr-FR"/>
        </w:rPr>
        <w:t>« le majeur est un ascendant ou toute autre perso</w:t>
      </w:r>
      <w:r w:rsidRPr="000E03BC">
        <w:rPr>
          <w:i/>
          <w:color w:val="000000"/>
          <w:szCs w:val="24"/>
          <w:lang w:eastAsia="fr-FR"/>
        </w:rPr>
        <w:t>n</w:t>
      </w:r>
      <w:r w:rsidRPr="000E03BC">
        <w:rPr>
          <w:i/>
          <w:color w:val="000000"/>
          <w:szCs w:val="24"/>
          <w:lang w:eastAsia="fr-FR"/>
        </w:rPr>
        <w:t>ne mentionnée à l'article 222-22-3 ayant sur le mineur une autor</w:t>
      </w:r>
      <w:r w:rsidRPr="000E03BC">
        <w:rPr>
          <w:i/>
          <w:color w:val="000000"/>
          <w:szCs w:val="24"/>
          <w:lang w:eastAsia="fr-FR"/>
        </w:rPr>
        <w:t>i</w:t>
      </w:r>
      <w:r w:rsidRPr="000E03BC">
        <w:rPr>
          <w:i/>
          <w:color w:val="000000"/>
          <w:szCs w:val="24"/>
          <w:lang w:eastAsia="fr-FR"/>
        </w:rPr>
        <w:lastRenderedPageBreak/>
        <w:t>té de droit ou de fait »</w:t>
      </w:r>
      <w:r>
        <w:t> </w:t>
      </w:r>
      <w:r>
        <w:rPr>
          <w:rStyle w:val="Appelnotedebasdep"/>
        </w:rPr>
        <w:footnoteReference w:id="29"/>
      </w:r>
      <w:r w:rsidRPr="000E03BC">
        <w:rPr>
          <w:i/>
          <w:color w:val="000000"/>
          <w:szCs w:val="24"/>
          <w:lang w:eastAsia="fr-FR"/>
        </w:rPr>
        <w:t>,</w:t>
      </w:r>
      <w:r w:rsidRPr="000E03BC">
        <w:rPr>
          <w:color w:val="000000"/>
          <w:szCs w:val="24"/>
          <w:lang w:eastAsia="fr-FR"/>
        </w:rPr>
        <w:t xml:space="preserve"> cette dernière hypothèse correspondant à l’agression sexuelle ince</w:t>
      </w:r>
      <w:r w:rsidRPr="000E03BC">
        <w:rPr>
          <w:color w:val="000000"/>
          <w:szCs w:val="24"/>
          <w:lang w:eastAsia="fr-FR"/>
        </w:rPr>
        <w:t>s</w:t>
      </w:r>
      <w:r w:rsidRPr="000E03BC">
        <w:rPr>
          <w:color w:val="000000"/>
          <w:szCs w:val="24"/>
          <w:lang w:eastAsia="fr-FR"/>
        </w:rPr>
        <w:t>tueuse.</w:t>
      </w:r>
    </w:p>
    <w:p w14:paraId="4DBA538B" w14:textId="77777777" w:rsidR="00F3214B" w:rsidRPr="000E03BC" w:rsidRDefault="00F3214B" w:rsidP="00F3214B">
      <w:pPr>
        <w:spacing w:before="120" w:after="120"/>
        <w:jc w:val="both"/>
        <w:rPr>
          <w:color w:val="000000"/>
          <w:szCs w:val="24"/>
          <w:lang w:eastAsia="fr-FR"/>
        </w:rPr>
      </w:pPr>
      <w:r w:rsidRPr="000E03BC">
        <w:rPr>
          <w:color w:val="000000"/>
          <w:szCs w:val="24"/>
          <w:lang w:eastAsia="fr-FR"/>
        </w:rPr>
        <w:t>Le législateur contemporain a également prévu de sanctionner : en 2018</w:t>
      </w:r>
      <w:r>
        <w:t> </w:t>
      </w:r>
      <w:r>
        <w:rPr>
          <w:rStyle w:val="Appelnotedebasdep"/>
        </w:rPr>
        <w:footnoteReference w:id="30"/>
      </w:r>
      <w:r w:rsidRPr="000E03BC">
        <w:rPr>
          <w:color w:val="000000"/>
          <w:szCs w:val="24"/>
          <w:lang w:eastAsia="fr-FR"/>
        </w:rPr>
        <w:t xml:space="preserve">, </w:t>
      </w:r>
      <w:r w:rsidRPr="000E03BC">
        <w:rPr>
          <w:i/>
          <w:color w:val="000000"/>
          <w:szCs w:val="24"/>
          <w:lang w:eastAsia="fr-FR"/>
        </w:rPr>
        <w:t>« le fait d'administrer à une personne, à son insu, une sub</w:t>
      </w:r>
      <w:r w:rsidRPr="000E03BC">
        <w:rPr>
          <w:i/>
          <w:color w:val="000000"/>
          <w:szCs w:val="24"/>
          <w:lang w:eastAsia="fr-FR"/>
        </w:rPr>
        <w:t>s</w:t>
      </w:r>
      <w:r w:rsidRPr="000E03BC">
        <w:rPr>
          <w:i/>
          <w:color w:val="000000"/>
          <w:szCs w:val="24"/>
          <w:lang w:eastAsia="fr-FR"/>
        </w:rPr>
        <w:t>tance de nature à a</w:t>
      </w:r>
      <w:r w:rsidRPr="000E03BC">
        <w:rPr>
          <w:i/>
          <w:color w:val="000000"/>
          <w:szCs w:val="24"/>
          <w:lang w:eastAsia="fr-FR"/>
        </w:rPr>
        <w:t>l</w:t>
      </w:r>
      <w:r w:rsidRPr="000E03BC">
        <w:rPr>
          <w:i/>
          <w:color w:val="000000"/>
          <w:szCs w:val="24"/>
          <w:lang w:eastAsia="fr-FR"/>
        </w:rPr>
        <w:t>térer son discernement ou le contrôle de ses actes afin de commettre à son égard un viol ou une agression sexue</w:t>
      </w:r>
      <w:r w:rsidRPr="000E03BC">
        <w:rPr>
          <w:i/>
          <w:color w:val="000000"/>
          <w:szCs w:val="24"/>
          <w:lang w:eastAsia="fr-FR"/>
        </w:rPr>
        <w:t>l</w:t>
      </w:r>
      <w:r w:rsidRPr="000E03BC">
        <w:rPr>
          <w:i/>
          <w:color w:val="000000"/>
          <w:szCs w:val="24"/>
          <w:lang w:eastAsia="fr-FR"/>
        </w:rPr>
        <w:t>le »</w:t>
      </w:r>
      <w:r>
        <w:t> </w:t>
      </w:r>
      <w:r>
        <w:rPr>
          <w:rStyle w:val="Appelnotedebasdep"/>
        </w:rPr>
        <w:footnoteReference w:id="31"/>
      </w:r>
      <w:r w:rsidRPr="000E03BC">
        <w:rPr>
          <w:i/>
          <w:color w:val="000000"/>
          <w:szCs w:val="24"/>
          <w:lang w:eastAsia="fr-FR"/>
        </w:rPr>
        <w:t> </w:t>
      </w:r>
      <w:r w:rsidRPr="000E03BC">
        <w:rPr>
          <w:color w:val="000000"/>
          <w:szCs w:val="24"/>
          <w:lang w:eastAsia="fr-FR"/>
        </w:rPr>
        <w:t>; ainsi que, en 2020</w:t>
      </w:r>
      <w:r>
        <w:t> </w:t>
      </w:r>
      <w:r>
        <w:rPr>
          <w:rStyle w:val="Appelnotedebasdep"/>
        </w:rPr>
        <w:footnoteReference w:id="32"/>
      </w:r>
      <w:r w:rsidRPr="000E03BC">
        <w:rPr>
          <w:color w:val="000000"/>
          <w:szCs w:val="24"/>
          <w:lang w:eastAsia="fr-FR"/>
        </w:rPr>
        <w:t xml:space="preserve">, </w:t>
      </w:r>
      <w:r w:rsidRPr="000E03BC">
        <w:rPr>
          <w:i/>
          <w:color w:val="000000"/>
          <w:szCs w:val="24"/>
          <w:lang w:eastAsia="fr-FR"/>
        </w:rPr>
        <w:t>« le fait de faire à une personne des offres ou des promesses ou de lui proposer des dons, présents ou avantages quelconques afin qu'elle commette une agression sexue</w:t>
      </w:r>
      <w:r w:rsidRPr="000E03BC">
        <w:rPr>
          <w:i/>
          <w:color w:val="000000"/>
          <w:szCs w:val="24"/>
          <w:lang w:eastAsia="fr-FR"/>
        </w:rPr>
        <w:t>l</w:t>
      </w:r>
      <w:r w:rsidRPr="000E03BC">
        <w:rPr>
          <w:i/>
          <w:color w:val="000000"/>
          <w:szCs w:val="24"/>
          <w:lang w:eastAsia="fr-FR"/>
        </w:rPr>
        <w:t>le, y compris hors du territoire national … lorsque cette agression n'a été ni co</w:t>
      </w:r>
      <w:r w:rsidRPr="000E03BC">
        <w:rPr>
          <w:i/>
          <w:color w:val="000000"/>
          <w:szCs w:val="24"/>
          <w:lang w:eastAsia="fr-FR"/>
        </w:rPr>
        <w:t>m</w:t>
      </w:r>
      <w:r w:rsidRPr="000E03BC">
        <w:rPr>
          <w:i/>
          <w:color w:val="000000"/>
          <w:szCs w:val="24"/>
          <w:lang w:eastAsia="fr-FR"/>
        </w:rPr>
        <w:t>mise, ni tentée »</w:t>
      </w:r>
      <w:r>
        <w:t> </w:t>
      </w:r>
      <w:r>
        <w:rPr>
          <w:rStyle w:val="Appelnotedebasdep"/>
        </w:rPr>
        <w:footnoteReference w:id="33"/>
      </w:r>
      <w:r w:rsidRPr="000E03BC">
        <w:rPr>
          <w:i/>
          <w:color w:val="000000"/>
          <w:szCs w:val="24"/>
          <w:lang w:eastAsia="fr-FR"/>
        </w:rPr>
        <w:t>.</w:t>
      </w:r>
      <w:r w:rsidRPr="000E03BC">
        <w:rPr>
          <w:color w:val="000000"/>
          <w:szCs w:val="24"/>
          <w:lang w:eastAsia="fr-FR"/>
        </w:rPr>
        <w:t xml:space="preserve"> L’article 222-31 du Code pénal prévoit, enfin, que </w:t>
      </w:r>
      <w:r w:rsidRPr="000E03BC">
        <w:rPr>
          <w:i/>
          <w:color w:val="000000"/>
          <w:szCs w:val="24"/>
          <w:lang w:eastAsia="fr-FR"/>
        </w:rPr>
        <w:t>« la te</w:t>
      </w:r>
      <w:r w:rsidRPr="000E03BC">
        <w:rPr>
          <w:i/>
          <w:color w:val="000000"/>
          <w:szCs w:val="24"/>
          <w:lang w:eastAsia="fr-FR"/>
        </w:rPr>
        <w:t>n</w:t>
      </w:r>
      <w:r w:rsidRPr="000E03BC">
        <w:rPr>
          <w:i/>
          <w:color w:val="000000"/>
          <w:szCs w:val="24"/>
          <w:lang w:eastAsia="fr-FR"/>
        </w:rPr>
        <w:t>tative des délits prévus par les articles 222-27 à 222-30-31 est punie des mêmes peines »</w:t>
      </w:r>
      <w:r>
        <w:t> </w:t>
      </w:r>
      <w:r>
        <w:rPr>
          <w:rStyle w:val="Appelnotedebasdep"/>
        </w:rPr>
        <w:footnoteReference w:id="34"/>
      </w:r>
      <w:r w:rsidRPr="000E03BC">
        <w:rPr>
          <w:i/>
          <w:color w:val="000000"/>
          <w:szCs w:val="24"/>
          <w:lang w:eastAsia="fr-FR"/>
        </w:rPr>
        <w:t>.</w:t>
      </w:r>
    </w:p>
    <w:p w14:paraId="0023D0FE" w14:textId="77777777" w:rsidR="00F3214B" w:rsidRPr="000E03BC" w:rsidRDefault="00F3214B" w:rsidP="00F3214B">
      <w:pPr>
        <w:spacing w:before="120" w:after="120"/>
        <w:jc w:val="both"/>
        <w:rPr>
          <w:color w:val="000000"/>
          <w:szCs w:val="24"/>
          <w:lang w:eastAsia="fr-FR"/>
        </w:rPr>
      </w:pPr>
      <w:r w:rsidRPr="000E03BC">
        <w:rPr>
          <w:color w:val="000000"/>
          <w:szCs w:val="24"/>
          <w:lang w:eastAsia="fr-FR"/>
        </w:rPr>
        <w:t>L’article 222-32 du Code pénal</w:t>
      </w:r>
      <w:r>
        <w:t> </w:t>
      </w:r>
      <w:r>
        <w:rPr>
          <w:rStyle w:val="Appelnotedebasdep"/>
        </w:rPr>
        <w:footnoteReference w:id="35"/>
      </w:r>
      <w:r w:rsidRPr="000E03BC">
        <w:rPr>
          <w:color w:val="000000"/>
          <w:szCs w:val="24"/>
          <w:lang w:eastAsia="fr-FR"/>
        </w:rPr>
        <w:t xml:space="preserve"> vient ajouter à cet arsenal r</w:t>
      </w:r>
      <w:r w:rsidRPr="000E03BC">
        <w:rPr>
          <w:color w:val="000000"/>
          <w:szCs w:val="24"/>
          <w:lang w:eastAsia="fr-FR"/>
        </w:rPr>
        <w:t>é</w:t>
      </w:r>
      <w:r w:rsidRPr="000E03BC">
        <w:rPr>
          <w:color w:val="000000"/>
          <w:szCs w:val="24"/>
          <w:lang w:eastAsia="fr-FR"/>
        </w:rPr>
        <w:t xml:space="preserve">pressif déjà très développé en prévoyant, dans son alinéa 1, que </w:t>
      </w:r>
      <w:r w:rsidRPr="000E03BC">
        <w:rPr>
          <w:i/>
          <w:color w:val="000000"/>
          <w:szCs w:val="24"/>
          <w:lang w:eastAsia="fr-FR"/>
        </w:rPr>
        <w:t>« l'exhibition sexuelle imposée à la vue d'autrui dans un lieu access</w:t>
      </w:r>
      <w:r w:rsidRPr="000E03BC">
        <w:rPr>
          <w:i/>
          <w:color w:val="000000"/>
          <w:szCs w:val="24"/>
          <w:lang w:eastAsia="fr-FR"/>
        </w:rPr>
        <w:t>i</w:t>
      </w:r>
      <w:r w:rsidRPr="000E03BC">
        <w:rPr>
          <w:i/>
          <w:color w:val="000000"/>
          <w:szCs w:val="24"/>
          <w:lang w:eastAsia="fr-FR"/>
        </w:rPr>
        <w:t xml:space="preserve">ble aux regards du public est punie d'un an d'emprisonnement et de 15 000 euros d'amende », </w:t>
      </w:r>
      <w:r w:rsidRPr="000E03BC">
        <w:rPr>
          <w:color w:val="000000"/>
          <w:szCs w:val="24"/>
          <w:lang w:eastAsia="fr-FR"/>
        </w:rPr>
        <w:t xml:space="preserve">en précisant, dans son alinéa 2, que, </w:t>
      </w:r>
      <w:r w:rsidRPr="000E03BC">
        <w:rPr>
          <w:i/>
          <w:color w:val="000000"/>
          <w:szCs w:val="24"/>
          <w:lang w:eastAsia="fr-FR"/>
        </w:rPr>
        <w:t xml:space="preserve">« même en l'absence d'exposition d'une partie dénudée du corps, l'exhibition sexuelle est constituée si est imposée à la vue d'autrui, dans un lieu accessible aux regards du public, la commission explicite d'un acte sexuel, réel ou simulé », </w:t>
      </w:r>
      <w:r w:rsidRPr="000E03BC">
        <w:rPr>
          <w:color w:val="000000"/>
          <w:szCs w:val="24"/>
          <w:lang w:eastAsia="fr-FR"/>
        </w:rPr>
        <w:t xml:space="preserve">et en indiquant enfin, dans son alinéa 3, que, </w:t>
      </w:r>
      <w:r w:rsidRPr="000E03BC">
        <w:rPr>
          <w:i/>
          <w:color w:val="000000"/>
          <w:szCs w:val="24"/>
          <w:lang w:eastAsia="fr-FR"/>
        </w:rPr>
        <w:t xml:space="preserve">« lorsque les faits sont commis au préjudice d'un mineur de quinze </w:t>
      </w:r>
      <w:r w:rsidRPr="000E03BC">
        <w:rPr>
          <w:i/>
          <w:color w:val="000000"/>
          <w:szCs w:val="24"/>
          <w:lang w:eastAsia="fr-FR"/>
        </w:rPr>
        <w:lastRenderedPageBreak/>
        <w:t>ans, les peines sont portées à deux ans d'emprisonnement et à 30</w:t>
      </w:r>
      <w:r>
        <w:rPr>
          <w:i/>
          <w:color w:val="000000"/>
          <w:szCs w:val="24"/>
          <w:lang w:eastAsia="fr-FR"/>
        </w:rPr>
        <w:t> </w:t>
      </w:r>
      <w:r w:rsidRPr="000E03BC">
        <w:rPr>
          <w:i/>
          <w:color w:val="000000"/>
          <w:szCs w:val="24"/>
          <w:lang w:eastAsia="fr-FR"/>
        </w:rPr>
        <w:t>000 euros d'amende ».</w:t>
      </w:r>
    </w:p>
    <w:p w14:paraId="79155D69" w14:textId="77777777" w:rsidR="00F3214B" w:rsidRPr="000E03BC" w:rsidRDefault="00F3214B" w:rsidP="00F3214B">
      <w:pPr>
        <w:spacing w:before="120" w:after="120"/>
        <w:jc w:val="both"/>
        <w:rPr>
          <w:color w:val="000000"/>
          <w:szCs w:val="24"/>
          <w:lang w:eastAsia="fr-FR"/>
        </w:rPr>
      </w:pPr>
    </w:p>
    <w:p w14:paraId="43AD8DBE" w14:textId="77777777" w:rsidR="00F3214B" w:rsidRPr="000E03BC" w:rsidRDefault="00F3214B" w:rsidP="00F3214B">
      <w:pPr>
        <w:spacing w:before="120" w:after="120"/>
        <w:jc w:val="both"/>
        <w:rPr>
          <w:color w:val="000000"/>
          <w:szCs w:val="24"/>
          <w:lang w:eastAsia="fr-FR"/>
        </w:rPr>
      </w:pPr>
      <w:r w:rsidRPr="000E03BC">
        <w:rPr>
          <w:color w:val="000000"/>
          <w:szCs w:val="24"/>
          <w:lang w:eastAsia="fr-FR"/>
        </w:rPr>
        <w:t>S’agissant du délit de harcèlement sexuel, l’article 222-33 du Code pénal</w:t>
      </w:r>
      <w:r>
        <w:t> </w:t>
      </w:r>
      <w:r>
        <w:rPr>
          <w:rStyle w:val="Appelnotedebasdep"/>
        </w:rPr>
        <w:footnoteReference w:id="36"/>
      </w:r>
      <w:r w:rsidRPr="000E03BC">
        <w:rPr>
          <w:color w:val="000000"/>
          <w:szCs w:val="24"/>
          <w:lang w:eastAsia="fr-FR"/>
        </w:rPr>
        <w:t xml:space="preserve"> prévoit que </w:t>
      </w:r>
      <w:r w:rsidRPr="000E03BC">
        <w:rPr>
          <w:i/>
          <w:color w:val="000000"/>
          <w:szCs w:val="24"/>
          <w:lang w:eastAsia="fr-FR"/>
        </w:rPr>
        <w:t>« le harcèlement sexuel est le fait d'imposer à une personne, de façon répétée, des propos ou comportements à connot</w:t>
      </w:r>
      <w:r w:rsidRPr="000E03BC">
        <w:rPr>
          <w:i/>
          <w:color w:val="000000"/>
          <w:szCs w:val="24"/>
          <w:lang w:eastAsia="fr-FR"/>
        </w:rPr>
        <w:t>a</w:t>
      </w:r>
      <w:r w:rsidRPr="000E03BC">
        <w:rPr>
          <w:i/>
          <w:color w:val="000000"/>
          <w:szCs w:val="24"/>
          <w:lang w:eastAsia="fr-FR"/>
        </w:rPr>
        <w:t>tion sexuelle ou sexiste qui soit portent atteinte à sa dignité en raison de leur caractère dégradant ou humiliant, soit créent à son e</w:t>
      </w:r>
      <w:r w:rsidRPr="000E03BC">
        <w:rPr>
          <w:i/>
          <w:color w:val="000000"/>
          <w:szCs w:val="24"/>
          <w:lang w:eastAsia="fr-FR"/>
        </w:rPr>
        <w:t>n</w:t>
      </w:r>
      <w:r w:rsidRPr="000E03BC">
        <w:rPr>
          <w:i/>
          <w:color w:val="000000"/>
          <w:szCs w:val="24"/>
          <w:lang w:eastAsia="fr-FR"/>
        </w:rPr>
        <w:t>contre une situation intimidante, hostile ou offensa</w:t>
      </w:r>
      <w:r w:rsidRPr="000E03BC">
        <w:rPr>
          <w:i/>
          <w:color w:val="000000"/>
          <w:szCs w:val="24"/>
          <w:lang w:eastAsia="fr-FR"/>
        </w:rPr>
        <w:t>n</w:t>
      </w:r>
      <w:r w:rsidRPr="000E03BC">
        <w:rPr>
          <w:i/>
          <w:color w:val="000000"/>
          <w:szCs w:val="24"/>
          <w:lang w:eastAsia="fr-FR"/>
        </w:rPr>
        <w:t>te ».</w:t>
      </w:r>
      <w:r w:rsidRPr="000E03BC">
        <w:rPr>
          <w:color w:val="000000"/>
          <w:szCs w:val="24"/>
          <w:lang w:eastAsia="fr-FR"/>
        </w:rPr>
        <w:t xml:space="preserve"> Le même article ajoute que </w:t>
      </w:r>
      <w:r w:rsidRPr="000E03BC">
        <w:rPr>
          <w:i/>
          <w:color w:val="000000"/>
          <w:szCs w:val="24"/>
          <w:lang w:eastAsia="fr-FR"/>
        </w:rPr>
        <w:t>« l'infraction est également constituée : 1° Lorsque ces propos ou comportements sont imposés à une même victime par pl</w:t>
      </w:r>
      <w:r w:rsidRPr="000E03BC">
        <w:rPr>
          <w:i/>
          <w:color w:val="000000"/>
          <w:szCs w:val="24"/>
          <w:lang w:eastAsia="fr-FR"/>
        </w:rPr>
        <w:t>u</w:t>
      </w:r>
      <w:r w:rsidRPr="000E03BC">
        <w:rPr>
          <w:i/>
          <w:color w:val="000000"/>
          <w:szCs w:val="24"/>
          <w:lang w:eastAsia="fr-FR"/>
        </w:rPr>
        <w:t>sieurs personnes, de manière concertée ou à l'instigation de l'une d'e</w:t>
      </w:r>
      <w:r w:rsidRPr="000E03BC">
        <w:rPr>
          <w:i/>
          <w:color w:val="000000"/>
          <w:szCs w:val="24"/>
          <w:lang w:eastAsia="fr-FR"/>
        </w:rPr>
        <w:t>l</w:t>
      </w:r>
      <w:r w:rsidRPr="000E03BC">
        <w:rPr>
          <w:i/>
          <w:color w:val="000000"/>
          <w:szCs w:val="24"/>
          <w:lang w:eastAsia="fr-FR"/>
        </w:rPr>
        <w:t>les, alors même que chacune de ces personnes n'a pas agi de façon répétée ; 2° Lorsque ces propos ou comportements sont imposés à une même victime, su</w:t>
      </w:r>
      <w:r w:rsidRPr="000E03BC">
        <w:rPr>
          <w:i/>
          <w:color w:val="000000"/>
          <w:szCs w:val="24"/>
          <w:lang w:eastAsia="fr-FR"/>
        </w:rPr>
        <w:t>c</w:t>
      </w:r>
      <w:r w:rsidRPr="000E03BC">
        <w:rPr>
          <w:i/>
          <w:color w:val="000000"/>
          <w:szCs w:val="24"/>
          <w:lang w:eastAsia="fr-FR"/>
        </w:rPr>
        <w:t>cessivement, par plusieurs personnes qui, même en l'absence de concertation, savent que ces propos ou comportements caractérisent une répétition »</w:t>
      </w:r>
      <w:r>
        <w:t> </w:t>
      </w:r>
      <w:r>
        <w:rPr>
          <w:rStyle w:val="Appelnotedebasdep"/>
        </w:rPr>
        <w:footnoteReference w:id="37"/>
      </w:r>
      <w:r w:rsidRPr="000E03BC">
        <w:rPr>
          <w:color w:val="000000"/>
          <w:szCs w:val="24"/>
          <w:lang w:eastAsia="fr-FR"/>
        </w:rPr>
        <w:t>.</w:t>
      </w:r>
    </w:p>
    <w:p w14:paraId="742378FA" w14:textId="77777777" w:rsidR="00F3214B" w:rsidRDefault="00F3214B" w:rsidP="00F3214B">
      <w:pPr>
        <w:spacing w:before="120" w:after="120"/>
        <w:jc w:val="both"/>
      </w:pPr>
      <w:r w:rsidRPr="000E03BC">
        <w:lastRenderedPageBreak/>
        <w:t xml:space="preserve">Comme le précise l’exposé des motifs de la loi n° 2018-703 du 3 août 2018, </w:t>
      </w:r>
      <w:r w:rsidRPr="000E03BC">
        <w:rPr>
          <w:i/>
        </w:rPr>
        <w:t>« la définition de l’outrage sexiste est directement inspirée de celle du délit de harcèlement sexuel, mais sans l’exigence de rép</w:t>
      </w:r>
      <w:r w:rsidRPr="000E03BC">
        <w:rPr>
          <w:i/>
        </w:rPr>
        <w:t>é</w:t>
      </w:r>
      <w:r w:rsidRPr="000E03BC">
        <w:rPr>
          <w:i/>
        </w:rPr>
        <w:t>tition des faits, qui interdit a</w:t>
      </w:r>
      <w:r w:rsidRPr="000E03BC">
        <w:rPr>
          <w:i/>
        </w:rPr>
        <w:t>c</w:t>
      </w:r>
      <w:r w:rsidRPr="000E03BC">
        <w:rPr>
          <w:i/>
        </w:rPr>
        <w:t xml:space="preserve">tuellement de réprimer des actes commis de façon isolée ». </w:t>
      </w:r>
      <w:r w:rsidRPr="000E03BC">
        <w:t>C’est ce que montre clairement une comparaison entre les définitions proposées par les deux articles du Code pénal :</w:t>
      </w:r>
    </w:p>
    <w:p w14:paraId="0FE50F8D" w14:textId="77777777" w:rsidR="00F3214B" w:rsidRPr="000E03BC" w:rsidRDefault="00F3214B" w:rsidP="00F3214B">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4"/>
        <w:gridCol w:w="3986"/>
      </w:tblGrid>
      <w:tr w:rsidR="00F3214B" w:rsidRPr="000E03BC" w14:paraId="0F94C8A5" w14:textId="77777777">
        <w:tc>
          <w:tcPr>
            <w:tcW w:w="4603" w:type="dxa"/>
            <w:shd w:val="clear" w:color="auto" w:fill="EEECE1"/>
          </w:tcPr>
          <w:p w14:paraId="61924A18" w14:textId="77777777" w:rsidR="00F3214B" w:rsidRPr="00807208" w:rsidRDefault="00F3214B" w:rsidP="00F3214B">
            <w:pPr>
              <w:spacing w:before="120" w:after="120"/>
              <w:ind w:firstLine="0"/>
              <w:jc w:val="both"/>
              <w:rPr>
                <w:color w:val="FF0000"/>
                <w:sz w:val="24"/>
              </w:rPr>
            </w:pPr>
            <w:r w:rsidRPr="00807208">
              <w:rPr>
                <w:color w:val="FF0000"/>
                <w:sz w:val="24"/>
              </w:rPr>
              <w:t>Harcèlement sexuel</w:t>
            </w:r>
          </w:p>
          <w:p w14:paraId="44316B90" w14:textId="77777777" w:rsidR="00F3214B" w:rsidRPr="001E3A35" w:rsidRDefault="00F3214B" w:rsidP="00F3214B">
            <w:pPr>
              <w:spacing w:before="120" w:after="120"/>
              <w:ind w:firstLine="0"/>
              <w:jc w:val="both"/>
              <w:rPr>
                <w:sz w:val="24"/>
              </w:rPr>
            </w:pPr>
            <w:r w:rsidRPr="001E3A35">
              <w:rPr>
                <w:sz w:val="24"/>
              </w:rPr>
              <w:t>(</w:t>
            </w:r>
            <w:proofErr w:type="gramStart"/>
            <w:r w:rsidRPr="001E3A35">
              <w:rPr>
                <w:sz w:val="24"/>
              </w:rPr>
              <w:t>article</w:t>
            </w:r>
            <w:proofErr w:type="gramEnd"/>
            <w:r w:rsidRPr="001E3A35">
              <w:rPr>
                <w:sz w:val="24"/>
              </w:rPr>
              <w:t xml:space="preserve"> 222-32 du Code pénal)</w:t>
            </w:r>
          </w:p>
        </w:tc>
        <w:tc>
          <w:tcPr>
            <w:tcW w:w="4603" w:type="dxa"/>
            <w:shd w:val="clear" w:color="auto" w:fill="EEECE1"/>
          </w:tcPr>
          <w:p w14:paraId="36F83BEB" w14:textId="77777777" w:rsidR="00F3214B" w:rsidRPr="00807208" w:rsidRDefault="00F3214B" w:rsidP="00F3214B">
            <w:pPr>
              <w:spacing w:before="120" w:after="120"/>
              <w:ind w:firstLine="0"/>
              <w:jc w:val="both"/>
              <w:rPr>
                <w:color w:val="0000FF"/>
                <w:sz w:val="24"/>
              </w:rPr>
            </w:pPr>
            <w:r w:rsidRPr="00807208">
              <w:rPr>
                <w:color w:val="0000FF"/>
                <w:sz w:val="24"/>
              </w:rPr>
              <w:t>Outrage sexiste</w:t>
            </w:r>
          </w:p>
          <w:p w14:paraId="6C1F8095" w14:textId="77777777" w:rsidR="00F3214B" w:rsidRPr="001E3A35" w:rsidRDefault="00F3214B" w:rsidP="00F3214B">
            <w:pPr>
              <w:spacing w:before="120" w:after="120"/>
              <w:ind w:firstLine="0"/>
              <w:jc w:val="both"/>
              <w:rPr>
                <w:sz w:val="24"/>
              </w:rPr>
            </w:pPr>
            <w:r w:rsidRPr="001E3A35">
              <w:rPr>
                <w:sz w:val="24"/>
              </w:rPr>
              <w:t>(</w:t>
            </w:r>
            <w:proofErr w:type="gramStart"/>
            <w:r w:rsidRPr="001E3A35">
              <w:rPr>
                <w:sz w:val="24"/>
              </w:rPr>
              <w:t>article</w:t>
            </w:r>
            <w:proofErr w:type="gramEnd"/>
            <w:r w:rsidRPr="001E3A35">
              <w:rPr>
                <w:sz w:val="24"/>
              </w:rPr>
              <w:t xml:space="preserve"> 621-1 du Code pénal</w:t>
            </w:r>
            <w:r>
              <w:t> </w:t>
            </w:r>
            <w:r>
              <w:rPr>
                <w:rStyle w:val="Appelnotedebasdep"/>
              </w:rPr>
              <w:footnoteReference w:id="38"/>
            </w:r>
            <w:r w:rsidRPr="001E3A35">
              <w:rPr>
                <w:sz w:val="24"/>
              </w:rPr>
              <w:t>)</w:t>
            </w:r>
          </w:p>
        </w:tc>
      </w:tr>
      <w:tr w:rsidR="00F3214B" w:rsidRPr="000E03BC" w14:paraId="53CC5385" w14:textId="77777777">
        <w:tc>
          <w:tcPr>
            <w:tcW w:w="4603" w:type="dxa"/>
          </w:tcPr>
          <w:p w14:paraId="59E226CD" w14:textId="77777777" w:rsidR="00F3214B" w:rsidRPr="001E3A35" w:rsidRDefault="00F3214B" w:rsidP="00F3214B">
            <w:pPr>
              <w:spacing w:before="120" w:after="120"/>
              <w:jc w:val="both"/>
              <w:rPr>
                <w:color w:val="000000"/>
                <w:sz w:val="24"/>
                <w:szCs w:val="24"/>
                <w:lang w:eastAsia="fr-FR"/>
              </w:rPr>
            </w:pPr>
            <w:r w:rsidRPr="001E3A35">
              <w:rPr>
                <w:i/>
                <w:color w:val="000000"/>
                <w:sz w:val="24"/>
                <w:szCs w:val="24"/>
                <w:lang w:eastAsia="fr-FR"/>
              </w:rPr>
              <w:t>«</w:t>
            </w:r>
            <w:r>
              <w:rPr>
                <w:i/>
                <w:color w:val="000000"/>
                <w:sz w:val="24"/>
                <w:szCs w:val="24"/>
                <w:lang w:eastAsia="fr-FR"/>
              </w:rPr>
              <w:t> </w:t>
            </w:r>
            <w:r w:rsidRPr="001E3A35">
              <w:rPr>
                <w:i/>
                <w:color w:val="000000"/>
                <w:sz w:val="24"/>
                <w:szCs w:val="24"/>
                <w:lang w:eastAsia="fr-FR"/>
              </w:rPr>
              <w:t>Le harcèlement sexuel est le fait d'i</w:t>
            </w:r>
            <w:r w:rsidRPr="001E3A35">
              <w:rPr>
                <w:i/>
                <w:color w:val="000000"/>
                <w:sz w:val="24"/>
                <w:szCs w:val="24"/>
                <w:lang w:eastAsia="fr-FR"/>
              </w:rPr>
              <w:t>m</w:t>
            </w:r>
            <w:r w:rsidRPr="001E3A35">
              <w:rPr>
                <w:i/>
                <w:color w:val="000000"/>
                <w:sz w:val="24"/>
                <w:szCs w:val="24"/>
                <w:lang w:eastAsia="fr-FR"/>
              </w:rPr>
              <w:t>poser à une personne, de façon répétée, des propos ou comportements à connotation sexuelle ou sexiste qui soit portent atteinte à sa dignité en ra</w:t>
            </w:r>
            <w:r w:rsidRPr="001E3A35">
              <w:rPr>
                <w:i/>
                <w:color w:val="000000"/>
                <w:sz w:val="24"/>
                <w:szCs w:val="24"/>
                <w:lang w:eastAsia="fr-FR"/>
              </w:rPr>
              <w:t>i</w:t>
            </w:r>
            <w:r w:rsidRPr="001E3A35">
              <w:rPr>
                <w:i/>
                <w:color w:val="000000"/>
                <w:sz w:val="24"/>
                <w:szCs w:val="24"/>
                <w:lang w:eastAsia="fr-FR"/>
              </w:rPr>
              <w:t>son de leur caractère dégr</w:t>
            </w:r>
            <w:r w:rsidRPr="001E3A35">
              <w:rPr>
                <w:i/>
                <w:color w:val="000000"/>
                <w:sz w:val="24"/>
                <w:szCs w:val="24"/>
                <w:lang w:eastAsia="fr-FR"/>
              </w:rPr>
              <w:t>a</w:t>
            </w:r>
            <w:r w:rsidRPr="001E3A35">
              <w:rPr>
                <w:i/>
                <w:color w:val="000000"/>
                <w:sz w:val="24"/>
                <w:szCs w:val="24"/>
                <w:lang w:eastAsia="fr-FR"/>
              </w:rPr>
              <w:t>dant ou humiliant, soit créent à son encontre une situation intimidante, hostile ou offe</w:t>
            </w:r>
            <w:r w:rsidRPr="001E3A35">
              <w:rPr>
                <w:i/>
                <w:color w:val="000000"/>
                <w:sz w:val="24"/>
                <w:szCs w:val="24"/>
                <w:lang w:eastAsia="fr-FR"/>
              </w:rPr>
              <w:t>n</w:t>
            </w:r>
            <w:r w:rsidRPr="001E3A35">
              <w:rPr>
                <w:i/>
                <w:color w:val="000000"/>
                <w:sz w:val="24"/>
                <w:szCs w:val="24"/>
                <w:lang w:eastAsia="fr-FR"/>
              </w:rPr>
              <w:t>sante ».</w:t>
            </w:r>
          </w:p>
        </w:tc>
        <w:tc>
          <w:tcPr>
            <w:tcW w:w="4603" w:type="dxa"/>
          </w:tcPr>
          <w:p w14:paraId="53F75D8A" w14:textId="77777777" w:rsidR="00F3214B" w:rsidRPr="001E3A35" w:rsidRDefault="00F3214B" w:rsidP="00F3214B">
            <w:pPr>
              <w:spacing w:before="120" w:after="120"/>
              <w:jc w:val="both"/>
              <w:rPr>
                <w:i/>
                <w:sz w:val="24"/>
                <w:szCs w:val="24"/>
              </w:rPr>
            </w:pPr>
            <w:r w:rsidRPr="001E3A35">
              <w:rPr>
                <w:i/>
                <w:sz w:val="24"/>
                <w:szCs w:val="24"/>
                <w:lang w:eastAsia="fr-FR"/>
              </w:rPr>
              <w:t>« Constitue un outrage sexiste le fait d'imposer à une personne tout pr</w:t>
            </w:r>
            <w:r w:rsidRPr="001E3A35">
              <w:rPr>
                <w:i/>
                <w:sz w:val="24"/>
                <w:szCs w:val="24"/>
                <w:lang w:eastAsia="fr-FR"/>
              </w:rPr>
              <w:t>o</w:t>
            </w:r>
            <w:r w:rsidRPr="001E3A35">
              <w:rPr>
                <w:i/>
                <w:sz w:val="24"/>
                <w:szCs w:val="24"/>
                <w:lang w:eastAsia="fr-FR"/>
              </w:rPr>
              <w:t>pos ou comportement à connotation sexuelle ou sexiste qui soit porte attei</w:t>
            </w:r>
            <w:r w:rsidRPr="001E3A35">
              <w:rPr>
                <w:i/>
                <w:sz w:val="24"/>
                <w:szCs w:val="24"/>
                <w:lang w:eastAsia="fr-FR"/>
              </w:rPr>
              <w:t>n</w:t>
            </w:r>
            <w:r w:rsidRPr="001E3A35">
              <w:rPr>
                <w:i/>
                <w:sz w:val="24"/>
                <w:szCs w:val="24"/>
                <w:lang w:eastAsia="fr-FR"/>
              </w:rPr>
              <w:t>te à sa dignité en raison de son cara</w:t>
            </w:r>
            <w:r w:rsidRPr="001E3A35">
              <w:rPr>
                <w:i/>
                <w:sz w:val="24"/>
                <w:szCs w:val="24"/>
                <w:lang w:eastAsia="fr-FR"/>
              </w:rPr>
              <w:t>c</w:t>
            </w:r>
            <w:r w:rsidRPr="001E3A35">
              <w:rPr>
                <w:i/>
                <w:sz w:val="24"/>
                <w:szCs w:val="24"/>
                <w:lang w:eastAsia="fr-FR"/>
              </w:rPr>
              <w:t>tère dégradant ou hum</w:t>
            </w:r>
            <w:r w:rsidRPr="001E3A35">
              <w:rPr>
                <w:i/>
                <w:sz w:val="24"/>
                <w:szCs w:val="24"/>
                <w:lang w:eastAsia="fr-FR"/>
              </w:rPr>
              <w:t>i</w:t>
            </w:r>
            <w:r w:rsidRPr="001E3A35">
              <w:rPr>
                <w:i/>
                <w:sz w:val="24"/>
                <w:szCs w:val="24"/>
                <w:lang w:eastAsia="fr-FR"/>
              </w:rPr>
              <w:t>liant, soit crée à son encontre une situation intimidante, hostile ou offensante ».</w:t>
            </w:r>
          </w:p>
        </w:tc>
      </w:tr>
    </w:tbl>
    <w:p w14:paraId="60ACEDBB" w14:textId="77777777" w:rsidR="00F3214B" w:rsidRPr="000E03BC" w:rsidRDefault="00F3214B" w:rsidP="00F3214B">
      <w:pPr>
        <w:spacing w:before="120" w:after="120"/>
        <w:jc w:val="both"/>
      </w:pPr>
    </w:p>
    <w:p w14:paraId="652905A9" w14:textId="77777777" w:rsidR="00F3214B" w:rsidRPr="000E03BC" w:rsidRDefault="00F3214B" w:rsidP="00F3214B">
      <w:pPr>
        <w:spacing w:before="120" w:after="120"/>
        <w:jc w:val="both"/>
        <w:rPr>
          <w:color w:val="000000"/>
          <w:szCs w:val="24"/>
          <w:lang w:eastAsia="fr-FR"/>
        </w:rPr>
      </w:pPr>
      <w:r w:rsidRPr="000E03BC">
        <w:rPr>
          <w:color w:val="000000"/>
          <w:szCs w:val="24"/>
          <w:lang w:eastAsia="fr-FR"/>
        </w:rPr>
        <w:t>Dans les deux cas, l’élément de définition, soit l’atteinte à la dign</w:t>
      </w:r>
      <w:r w:rsidRPr="000E03BC">
        <w:rPr>
          <w:color w:val="000000"/>
          <w:szCs w:val="24"/>
          <w:lang w:eastAsia="fr-FR"/>
        </w:rPr>
        <w:t>i</w:t>
      </w:r>
      <w:r w:rsidRPr="000E03BC">
        <w:rPr>
          <w:color w:val="000000"/>
          <w:szCs w:val="24"/>
          <w:lang w:eastAsia="fr-FR"/>
        </w:rPr>
        <w:t xml:space="preserve">té ou la création d’une situation intimidante, hostile ou offensante, est strictement le même. Hors de la modification anodine du passage du pluriel au singulier relative aux </w:t>
      </w:r>
      <w:proofErr w:type="gramStart"/>
      <w:r w:rsidRPr="000E03BC">
        <w:rPr>
          <w:color w:val="000000"/>
          <w:szCs w:val="24"/>
          <w:lang w:eastAsia="fr-FR"/>
        </w:rPr>
        <w:t>propos  ou</w:t>
      </w:r>
      <w:proofErr w:type="gramEnd"/>
      <w:r w:rsidRPr="000E03BC">
        <w:rPr>
          <w:color w:val="000000"/>
          <w:szCs w:val="24"/>
          <w:lang w:eastAsia="fr-FR"/>
        </w:rPr>
        <w:t xml:space="preserve"> comportements, la diff</w:t>
      </w:r>
      <w:r w:rsidRPr="000E03BC">
        <w:rPr>
          <w:color w:val="000000"/>
          <w:szCs w:val="24"/>
          <w:lang w:eastAsia="fr-FR"/>
        </w:rPr>
        <w:t>é</w:t>
      </w:r>
      <w:r w:rsidRPr="000E03BC">
        <w:rPr>
          <w:color w:val="000000"/>
          <w:szCs w:val="24"/>
          <w:lang w:eastAsia="fr-FR"/>
        </w:rPr>
        <w:t xml:space="preserve">rence essentielle consiste dans le fait que le harcèlement sexuel exige la répétition </w:t>
      </w:r>
      <w:r w:rsidRPr="000E03BC">
        <w:rPr>
          <w:i/>
          <w:color w:val="000000"/>
          <w:szCs w:val="24"/>
          <w:lang w:eastAsia="fr-FR"/>
        </w:rPr>
        <w:t>(« de façon répétée »),</w:t>
      </w:r>
      <w:r w:rsidRPr="000E03BC">
        <w:rPr>
          <w:color w:val="000000"/>
          <w:szCs w:val="24"/>
          <w:lang w:eastAsia="fr-FR"/>
        </w:rPr>
        <w:t xml:space="preserve"> ce qui n’est pas le cas de l’outrage sexiste, qui peut être constitué par un seul acte ou propos.</w:t>
      </w:r>
    </w:p>
    <w:p w14:paraId="71CAFF5B" w14:textId="77777777" w:rsidR="00F3214B" w:rsidRPr="000E03BC" w:rsidRDefault="00F3214B" w:rsidP="00F3214B">
      <w:pPr>
        <w:spacing w:before="120" w:after="120"/>
        <w:jc w:val="both"/>
        <w:rPr>
          <w:color w:val="000000"/>
          <w:szCs w:val="24"/>
          <w:lang w:eastAsia="fr-FR"/>
        </w:rPr>
      </w:pPr>
      <w:r w:rsidRPr="000E03BC">
        <w:rPr>
          <w:color w:val="000000"/>
          <w:szCs w:val="24"/>
          <w:lang w:eastAsia="fr-FR"/>
        </w:rPr>
        <w:t>De ce fait, le harcèlement sexuel pourrait être vu comme la répét</w:t>
      </w:r>
      <w:r w:rsidRPr="000E03BC">
        <w:rPr>
          <w:color w:val="000000"/>
          <w:szCs w:val="24"/>
          <w:lang w:eastAsia="fr-FR"/>
        </w:rPr>
        <w:t>i</w:t>
      </w:r>
      <w:r w:rsidRPr="000E03BC">
        <w:rPr>
          <w:color w:val="000000"/>
          <w:szCs w:val="24"/>
          <w:lang w:eastAsia="fr-FR"/>
        </w:rPr>
        <w:t>tion d’un outrage sexuel et, inversement, toute répétition d’un outrage sexuel pourrait être considérée comme constitutive de harcèlement sexuel. Les deux notions, tout en étant distinctes, sont donc effectiv</w:t>
      </w:r>
      <w:r w:rsidRPr="000E03BC">
        <w:rPr>
          <w:color w:val="000000"/>
          <w:szCs w:val="24"/>
          <w:lang w:eastAsia="fr-FR"/>
        </w:rPr>
        <w:t>e</w:t>
      </w:r>
      <w:r w:rsidRPr="000E03BC">
        <w:rPr>
          <w:color w:val="000000"/>
          <w:szCs w:val="24"/>
          <w:lang w:eastAsia="fr-FR"/>
        </w:rPr>
        <w:t>ment proches. Le législateur en est conscient puisqu’il a pris soin de préciser dans le premier alinéa de l’article 621-1 du Code pénal</w:t>
      </w:r>
      <w:r>
        <w:t> </w:t>
      </w:r>
      <w:r>
        <w:rPr>
          <w:rStyle w:val="Appelnotedebasdep"/>
        </w:rPr>
        <w:footnoteReference w:id="39"/>
      </w:r>
      <w:r w:rsidRPr="000E03BC">
        <w:rPr>
          <w:color w:val="000000"/>
          <w:szCs w:val="24"/>
          <w:lang w:eastAsia="fr-FR"/>
        </w:rPr>
        <w:t xml:space="preserve"> que </w:t>
      </w:r>
      <w:r w:rsidRPr="000E03BC">
        <w:rPr>
          <w:color w:val="000000"/>
          <w:szCs w:val="24"/>
          <w:lang w:eastAsia="fr-FR"/>
        </w:rPr>
        <w:lastRenderedPageBreak/>
        <w:t>l’infraction d’outrage sexiste, ne s’applique pas aux cas de commi</w:t>
      </w:r>
      <w:r w:rsidRPr="000E03BC">
        <w:rPr>
          <w:color w:val="000000"/>
          <w:szCs w:val="24"/>
          <w:lang w:eastAsia="fr-FR"/>
        </w:rPr>
        <w:t>s</w:t>
      </w:r>
      <w:r w:rsidRPr="000E03BC">
        <w:rPr>
          <w:color w:val="000000"/>
          <w:szCs w:val="24"/>
          <w:lang w:eastAsia="fr-FR"/>
        </w:rPr>
        <w:t>sion d’actes de violence</w:t>
      </w:r>
      <w:r>
        <w:t> </w:t>
      </w:r>
      <w:r>
        <w:rPr>
          <w:rStyle w:val="Appelnotedebasdep"/>
        </w:rPr>
        <w:footnoteReference w:id="40"/>
      </w:r>
      <w:r w:rsidRPr="000E03BC">
        <w:rPr>
          <w:color w:val="000000"/>
          <w:szCs w:val="24"/>
          <w:lang w:eastAsia="fr-FR"/>
        </w:rPr>
        <w:t>, d’exhibition sexuelle</w:t>
      </w:r>
      <w:r>
        <w:t> </w:t>
      </w:r>
      <w:r>
        <w:rPr>
          <w:rStyle w:val="Appelnotedebasdep"/>
        </w:rPr>
        <w:footnoteReference w:id="41"/>
      </w:r>
      <w:r w:rsidRPr="000E03BC">
        <w:rPr>
          <w:color w:val="000000"/>
          <w:szCs w:val="24"/>
          <w:lang w:eastAsia="fr-FR"/>
        </w:rPr>
        <w:t>, de harcèl</w:t>
      </w:r>
      <w:r w:rsidRPr="000E03BC">
        <w:rPr>
          <w:color w:val="000000"/>
          <w:szCs w:val="24"/>
          <w:lang w:eastAsia="fr-FR"/>
        </w:rPr>
        <w:t>e</w:t>
      </w:r>
      <w:r w:rsidRPr="000E03BC">
        <w:rPr>
          <w:color w:val="000000"/>
          <w:szCs w:val="24"/>
          <w:lang w:eastAsia="fr-FR"/>
        </w:rPr>
        <w:t>ment sexuel</w:t>
      </w:r>
      <w:r>
        <w:t> </w:t>
      </w:r>
      <w:r>
        <w:rPr>
          <w:rStyle w:val="Appelnotedebasdep"/>
        </w:rPr>
        <w:footnoteReference w:id="42"/>
      </w:r>
      <w:r w:rsidRPr="000E03BC">
        <w:rPr>
          <w:color w:val="000000"/>
          <w:szCs w:val="24"/>
          <w:lang w:eastAsia="fr-FR"/>
        </w:rPr>
        <w:t xml:space="preserve"> et, plus largement à tout fait de harcèlement</w:t>
      </w:r>
      <w:r>
        <w:t> </w:t>
      </w:r>
      <w:r>
        <w:rPr>
          <w:rStyle w:val="Appelnotedebasdep"/>
        </w:rPr>
        <w:footnoteReference w:id="43"/>
      </w:r>
      <w:r w:rsidRPr="000E03BC">
        <w:rPr>
          <w:color w:val="000000"/>
          <w:szCs w:val="24"/>
          <w:lang w:eastAsia="fr-FR"/>
        </w:rPr>
        <w:t>.</w:t>
      </w:r>
    </w:p>
    <w:p w14:paraId="13B33388" w14:textId="77777777" w:rsidR="00F3214B" w:rsidRPr="000E03BC" w:rsidRDefault="00F3214B" w:rsidP="00F3214B">
      <w:pPr>
        <w:spacing w:before="120" w:after="120"/>
        <w:jc w:val="both"/>
        <w:rPr>
          <w:i/>
          <w:iCs/>
          <w:color w:val="000000"/>
          <w:szCs w:val="24"/>
          <w:lang w:eastAsia="fr-FR"/>
        </w:rPr>
      </w:pPr>
      <w:r w:rsidRPr="000E03BC">
        <w:rPr>
          <w:color w:val="000000"/>
          <w:szCs w:val="24"/>
          <w:lang w:eastAsia="fr-FR"/>
        </w:rPr>
        <w:t>Une disposition du même article relative à l’existence de circon</w:t>
      </w:r>
      <w:r w:rsidRPr="000E03BC">
        <w:rPr>
          <w:color w:val="000000"/>
          <w:szCs w:val="24"/>
          <w:lang w:eastAsia="fr-FR"/>
        </w:rPr>
        <w:t>s</w:t>
      </w:r>
      <w:r w:rsidRPr="000E03BC">
        <w:rPr>
          <w:color w:val="000000"/>
          <w:szCs w:val="24"/>
          <w:lang w:eastAsia="fr-FR"/>
        </w:rPr>
        <w:t>tances aggravantes</w:t>
      </w:r>
      <w:r>
        <w:t> </w:t>
      </w:r>
      <w:r>
        <w:rPr>
          <w:rStyle w:val="Appelnotedebasdep"/>
        </w:rPr>
        <w:footnoteReference w:id="44"/>
      </w:r>
      <w:r w:rsidRPr="000E03BC">
        <w:rPr>
          <w:color w:val="000000"/>
          <w:szCs w:val="24"/>
          <w:lang w:eastAsia="fr-FR"/>
        </w:rPr>
        <w:t xml:space="preserve"> illustre bien la difficulté que peut faire naître ce</w:t>
      </w:r>
      <w:r w:rsidRPr="000E03BC">
        <w:rPr>
          <w:color w:val="000000"/>
          <w:szCs w:val="24"/>
          <w:lang w:eastAsia="fr-FR"/>
        </w:rPr>
        <w:t>t</w:t>
      </w:r>
      <w:r w:rsidRPr="000E03BC">
        <w:rPr>
          <w:color w:val="000000"/>
          <w:szCs w:val="24"/>
          <w:lang w:eastAsia="fr-FR"/>
        </w:rPr>
        <w:t xml:space="preserve">te proximité. C’est, plus précisément, le choix d’avoir introduit parmi les circonstances aggravantes de l’outrage sexiste </w:t>
      </w:r>
      <w:r w:rsidRPr="000E03BC">
        <w:rPr>
          <w:szCs w:val="24"/>
          <w:lang w:eastAsia="fr-FR"/>
        </w:rPr>
        <w:t xml:space="preserve">le fait que celui-ci ait été commis </w:t>
      </w:r>
      <w:r w:rsidRPr="000E03BC">
        <w:rPr>
          <w:i/>
          <w:szCs w:val="24"/>
          <w:lang w:eastAsia="fr-FR"/>
        </w:rPr>
        <w:t>« par plusieurs personnes agissant en qualité d'auteur ou de complice</w:t>
      </w:r>
      <w:r>
        <w:t> </w:t>
      </w:r>
      <w:r>
        <w:rPr>
          <w:rStyle w:val="Appelnotedebasdep"/>
        </w:rPr>
        <w:footnoteReference w:id="45"/>
      </w:r>
      <w:r w:rsidRPr="000E03BC">
        <w:rPr>
          <w:i/>
          <w:szCs w:val="24"/>
          <w:lang w:eastAsia="fr-FR"/>
        </w:rPr>
        <w:t xml:space="preserve"> » </w:t>
      </w:r>
      <w:r w:rsidRPr="000E03BC">
        <w:rPr>
          <w:szCs w:val="24"/>
          <w:lang w:eastAsia="fr-FR"/>
        </w:rPr>
        <w:t>qui peut paraître curieux. Dans la m</w:t>
      </w:r>
      <w:r w:rsidRPr="000E03BC">
        <w:rPr>
          <w:szCs w:val="24"/>
          <w:lang w:eastAsia="fr-FR"/>
        </w:rPr>
        <w:t>e</w:t>
      </w:r>
      <w:r w:rsidRPr="000E03BC">
        <w:rPr>
          <w:szCs w:val="24"/>
          <w:lang w:eastAsia="fr-FR"/>
        </w:rPr>
        <w:t>sure ou une pluralité d’auteurs suppose que chacun d’entre eux ait t</w:t>
      </w:r>
      <w:r w:rsidRPr="000E03BC">
        <w:rPr>
          <w:szCs w:val="24"/>
          <w:lang w:eastAsia="fr-FR"/>
        </w:rPr>
        <w:t>e</w:t>
      </w:r>
      <w:r w:rsidRPr="000E03BC">
        <w:rPr>
          <w:szCs w:val="24"/>
          <w:lang w:eastAsia="fr-FR"/>
        </w:rPr>
        <w:t xml:space="preserve">nu un propos outrageant ou ait eu un comportement de ce type, ne tombe-t-on pas là dans l’une des hypothèses de harcèlement sexuel prévue par </w:t>
      </w:r>
      <w:r w:rsidRPr="000E03BC">
        <w:rPr>
          <w:color w:val="000000"/>
          <w:szCs w:val="24"/>
          <w:lang w:eastAsia="fr-FR"/>
        </w:rPr>
        <w:t>l’article 222-33 du Code pénal, soit le fait que les actes ou propos r</w:t>
      </w:r>
      <w:r w:rsidRPr="000E03BC">
        <w:rPr>
          <w:color w:val="000000"/>
          <w:szCs w:val="24"/>
          <w:lang w:eastAsia="fr-FR"/>
        </w:rPr>
        <w:t>é</w:t>
      </w:r>
      <w:r w:rsidRPr="000E03BC">
        <w:rPr>
          <w:color w:val="000000"/>
          <w:szCs w:val="24"/>
          <w:lang w:eastAsia="fr-FR"/>
        </w:rPr>
        <w:lastRenderedPageBreak/>
        <w:t>préhens</w:t>
      </w:r>
      <w:r w:rsidRPr="000E03BC">
        <w:rPr>
          <w:color w:val="000000"/>
          <w:szCs w:val="24"/>
          <w:lang w:eastAsia="fr-FR"/>
        </w:rPr>
        <w:t>i</w:t>
      </w:r>
      <w:r w:rsidRPr="000E03BC">
        <w:rPr>
          <w:color w:val="000000"/>
          <w:szCs w:val="24"/>
          <w:lang w:eastAsia="fr-FR"/>
        </w:rPr>
        <w:t xml:space="preserve">bles aient été </w:t>
      </w:r>
      <w:r w:rsidRPr="000E03BC">
        <w:rPr>
          <w:i/>
          <w:iCs/>
          <w:color w:val="000000"/>
          <w:szCs w:val="24"/>
          <w:lang w:eastAsia="fr-FR"/>
        </w:rPr>
        <w:t>« imposés à une même victime par plusieurs personnes, de manière concertée ou à l’instigation de l’une d’elles, alors même que chacune de ces personnes n’a pas agi de façon rép</w:t>
      </w:r>
      <w:r w:rsidRPr="000E03BC">
        <w:rPr>
          <w:i/>
          <w:iCs/>
          <w:color w:val="000000"/>
          <w:szCs w:val="24"/>
          <w:lang w:eastAsia="fr-FR"/>
        </w:rPr>
        <w:t>é</w:t>
      </w:r>
      <w:r w:rsidRPr="000E03BC">
        <w:rPr>
          <w:i/>
          <w:iCs/>
          <w:color w:val="000000"/>
          <w:szCs w:val="24"/>
          <w:lang w:eastAsia="fr-FR"/>
        </w:rPr>
        <w:t>tée »</w:t>
      </w:r>
      <w:r>
        <w:t> </w:t>
      </w:r>
      <w:r>
        <w:rPr>
          <w:rStyle w:val="Appelnotedebasdep"/>
        </w:rPr>
        <w:footnoteReference w:id="46"/>
      </w:r>
      <w:r w:rsidRPr="000E03BC">
        <w:rPr>
          <w:i/>
          <w:iCs/>
          <w:color w:val="000000"/>
          <w:szCs w:val="24"/>
          <w:lang w:eastAsia="fr-FR"/>
        </w:rPr>
        <w:t> ?</w:t>
      </w:r>
    </w:p>
    <w:p w14:paraId="5CCCAA6B" w14:textId="77777777" w:rsidR="00F3214B" w:rsidRPr="000E03BC" w:rsidRDefault="00F3214B" w:rsidP="00F3214B">
      <w:pPr>
        <w:spacing w:before="120" w:after="120"/>
        <w:jc w:val="both"/>
        <w:rPr>
          <w:szCs w:val="24"/>
          <w:lang w:eastAsia="fr-FR"/>
        </w:rPr>
      </w:pPr>
      <w:r w:rsidRPr="000E03BC">
        <w:rPr>
          <w:color w:val="000000"/>
          <w:szCs w:val="24"/>
          <w:lang w:eastAsia="fr-FR"/>
        </w:rPr>
        <w:t>Il semble bien qu’il y ait là une situation de chevauchement. Dans une telle circonstance, le juge doit faire prévaloir l’infraction la plus grave, soit le harcèlement sexuel, rendant ainsi inopérante la circon</w:t>
      </w:r>
      <w:r w:rsidRPr="000E03BC">
        <w:rPr>
          <w:color w:val="000000"/>
          <w:szCs w:val="24"/>
          <w:lang w:eastAsia="fr-FR"/>
        </w:rPr>
        <w:t>s</w:t>
      </w:r>
      <w:r w:rsidRPr="000E03BC">
        <w:rPr>
          <w:color w:val="000000"/>
          <w:szCs w:val="24"/>
          <w:lang w:eastAsia="fr-FR"/>
        </w:rPr>
        <w:t>tance aggravante d’outrage sexuel considérée, sauf à user illégalement d’une forme de « contraventionnalisation ».</w:t>
      </w:r>
      <w:r w:rsidRPr="000E03BC">
        <w:rPr>
          <w:szCs w:val="24"/>
          <w:lang w:eastAsia="fr-FR"/>
        </w:rPr>
        <w:t xml:space="preserve"> </w:t>
      </w:r>
      <w:r w:rsidRPr="000E03BC">
        <w:rPr>
          <w:color w:val="000000"/>
          <w:szCs w:val="24"/>
          <w:lang w:eastAsia="fr-FR"/>
        </w:rPr>
        <w:t>Que faut-il entendre par là ? Pour le comprendre, il faut s’intéresser à la pratique existante de la « correctionnalisation », ce qui implique de commencer par disti</w:t>
      </w:r>
      <w:r w:rsidRPr="000E03BC">
        <w:rPr>
          <w:color w:val="000000"/>
          <w:szCs w:val="24"/>
          <w:lang w:eastAsia="fr-FR"/>
        </w:rPr>
        <w:t>n</w:t>
      </w:r>
      <w:r w:rsidRPr="000E03BC">
        <w:rPr>
          <w:color w:val="000000"/>
          <w:szCs w:val="24"/>
          <w:lang w:eastAsia="fr-FR"/>
        </w:rPr>
        <w:t>guer entre les modalités d’agression sexuelle. L’outrage sexiste est une agression verbale, ou visuelle comme l’exhibition sexuelle. Lor</w:t>
      </w:r>
      <w:r w:rsidRPr="000E03BC">
        <w:rPr>
          <w:color w:val="000000"/>
          <w:szCs w:val="24"/>
          <w:lang w:eastAsia="fr-FR"/>
        </w:rPr>
        <w:t>s</w:t>
      </w:r>
      <w:r w:rsidRPr="000E03BC">
        <w:rPr>
          <w:color w:val="000000"/>
          <w:szCs w:val="24"/>
          <w:lang w:eastAsia="fr-FR"/>
        </w:rPr>
        <w:t>que l’atteinte est physique, c’est-à-dire lorsqu’il y a un contact à connotation sexuelle avec la victime, cette atteinte constitue une agression sexuelle. Enfin, si le contact comporte un acte de pénétr</w:t>
      </w:r>
      <w:r w:rsidRPr="000E03BC">
        <w:rPr>
          <w:color w:val="000000"/>
          <w:szCs w:val="24"/>
          <w:lang w:eastAsia="fr-FR"/>
        </w:rPr>
        <w:t>a</w:t>
      </w:r>
      <w:r w:rsidRPr="000E03BC">
        <w:rPr>
          <w:color w:val="000000"/>
          <w:szCs w:val="24"/>
          <w:lang w:eastAsia="fr-FR"/>
        </w:rPr>
        <w:t>tion sexuelle, l’infraction commise est le viol.</w:t>
      </w:r>
    </w:p>
    <w:p w14:paraId="32B2A5AF" w14:textId="77777777" w:rsidR="00F3214B" w:rsidRPr="000E03BC" w:rsidRDefault="00F3214B" w:rsidP="00F3214B">
      <w:pPr>
        <w:spacing w:before="120" w:after="120"/>
        <w:jc w:val="both"/>
        <w:rPr>
          <w:color w:val="000000"/>
          <w:szCs w:val="24"/>
          <w:lang w:eastAsia="fr-FR"/>
        </w:rPr>
      </w:pPr>
      <w:r w:rsidRPr="000E03BC">
        <w:rPr>
          <w:color w:val="000000"/>
          <w:szCs w:val="24"/>
          <w:lang w:eastAsia="fr-FR"/>
        </w:rPr>
        <w:t>Il peut arriver qu’un acte qualifiable de viol soit correctionnalisé, ce qui su</w:t>
      </w:r>
      <w:r w:rsidRPr="000E03BC">
        <w:rPr>
          <w:color w:val="000000"/>
          <w:szCs w:val="24"/>
          <w:lang w:eastAsia="fr-FR"/>
        </w:rPr>
        <w:t>p</w:t>
      </w:r>
      <w:r w:rsidRPr="000E03BC">
        <w:rPr>
          <w:color w:val="000000"/>
          <w:szCs w:val="24"/>
          <w:lang w:eastAsia="fr-FR"/>
        </w:rPr>
        <w:t>pose de minorer illégalement les agissements de l’auteur des faits. Cette pratique</w:t>
      </w:r>
      <w:r>
        <w:t> </w:t>
      </w:r>
      <w:r>
        <w:rPr>
          <w:rStyle w:val="Appelnotedebasdep"/>
        </w:rPr>
        <w:footnoteReference w:id="47"/>
      </w:r>
      <w:r w:rsidRPr="000E03BC">
        <w:rPr>
          <w:color w:val="000000"/>
          <w:szCs w:val="24"/>
          <w:lang w:eastAsia="fr-FR"/>
        </w:rPr>
        <w:t xml:space="preserve"> est techniquement facile à réaliser pour le m</w:t>
      </w:r>
      <w:r w:rsidRPr="000E03BC">
        <w:rPr>
          <w:color w:val="000000"/>
          <w:szCs w:val="24"/>
          <w:lang w:eastAsia="fr-FR"/>
        </w:rPr>
        <w:t>a</w:t>
      </w:r>
      <w:r w:rsidRPr="000E03BC">
        <w:rPr>
          <w:color w:val="000000"/>
          <w:szCs w:val="24"/>
          <w:lang w:eastAsia="fr-FR"/>
        </w:rPr>
        <w:t>gistrat du Parquet. Il suffit, pour ce faire, qu’il passe sous silence les actes de pénétration dans la description des faits sur laquelle il s’appuie pour requérir la condamnation, ce qui lui permet de renvoyer l’auteur des faits devant le tribunal correctionnel pour agression sexuelle</w:t>
      </w:r>
      <w:r>
        <w:t> </w:t>
      </w:r>
      <w:r>
        <w:rPr>
          <w:rStyle w:val="Appelnotedebasdep"/>
        </w:rPr>
        <w:footnoteReference w:id="48"/>
      </w:r>
      <w:r w:rsidRPr="000E03BC">
        <w:rPr>
          <w:color w:val="000000"/>
          <w:szCs w:val="24"/>
          <w:lang w:eastAsia="fr-FR"/>
        </w:rPr>
        <w:t>. Le fait qu’un magistrat use ainsi d’une pratique illégale minimisant les faits signifie-t-il que celui-ci entend faire preuve d’une indulgence coupable envers les violeurs ?</w:t>
      </w:r>
    </w:p>
    <w:p w14:paraId="0A8B0A1D" w14:textId="77777777" w:rsidR="00F3214B" w:rsidRPr="000E03BC" w:rsidRDefault="00F3214B" w:rsidP="00F3214B">
      <w:pPr>
        <w:spacing w:before="120" w:after="120"/>
        <w:jc w:val="both"/>
        <w:rPr>
          <w:color w:val="000000"/>
          <w:szCs w:val="24"/>
          <w:lang w:eastAsia="fr-FR"/>
        </w:rPr>
      </w:pPr>
      <w:r w:rsidRPr="000E03BC">
        <w:rPr>
          <w:color w:val="000000"/>
          <w:szCs w:val="24"/>
          <w:lang w:eastAsia="fr-FR"/>
        </w:rPr>
        <w:lastRenderedPageBreak/>
        <w:t>Non, tout au contraire, si l’on en croit les magistrats qui y reco</w:t>
      </w:r>
      <w:r w:rsidRPr="000E03BC">
        <w:rPr>
          <w:color w:val="000000"/>
          <w:szCs w:val="24"/>
          <w:lang w:eastAsia="fr-FR"/>
        </w:rPr>
        <w:t>u</w:t>
      </w:r>
      <w:r w:rsidRPr="000E03BC">
        <w:rPr>
          <w:color w:val="000000"/>
          <w:szCs w:val="24"/>
          <w:lang w:eastAsia="fr-FR"/>
        </w:rPr>
        <w:t>rent. Ceux-ci expliquent</w:t>
      </w:r>
      <w:r>
        <w:t> </w:t>
      </w:r>
      <w:r>
        <w:rPr>
          <w:rStyle w:val="Appelnotedebasdep"/>
        </w:rPr>
        <w:footnoteReference w:id="49"/>
      </w:r>
      <w:r w:rsidRPr="000E03BC">
        <w:rPr>
          <w:color w:val="000000"/>
          <w:szCs w:val="24"/>
          <w:lang w:eastAsia="fr-FR"/>
        </w:rPr>
        <w:t xml:space="preserve"> ne l’employer que de façon très exceptio</w:t>
      </w:r>
      <w:r w:rsidRPr="000E03BC">
        <w:rPr>
          <w:color w:val="000000"/>
          <w:szCs w:val="24"/>
          <w:lang w:eastAsia="fr-FR"/>
        </w:rPr>
        <w:t>n</w:t>
      </w:r>
      <w:r w:rsidRPr="000E03BC">
        <w:rPr>
          <w:color w:val="000000"/>
          <w:szCs w:val="24"/>
          <w:lang w:eastAsia="fr-FR"/>
        </w:rPr>
        <w:t>nelle et ce à la fois pour diminuer le risque de voir l’auteur des faits échapper à la sanction et pour rédu</w:t>
      </w:r>
      <w:r w:rsidRPr="000E03BC">
        <w:rPr>
          <w:color w:val="000000"/>
          <w:szCs w:val="24"/>
          <w:lang w:eastAsia="fr-FR"/>
        </w:rPr>
        <w:t>i</w:t>
      </w:r>
      <w:r w:rsidRPr="000E03BC">
        <w:rPr>
          <w:color w:val="000000"/>
          <w:szCs w:val="24"/>
          <w:lang w:eastAsia="fr-FR"/>
        </w:rPr>
        <w:t>re la durée de la procédure afin de permettre à la victime de commencer plus rapidement à « se recon</w:t>
      </w:r>
      <w:r w:rsidRPr="000E03BC">
        <w:rPr>
          <w:color w:val="000000"/>
          <w:szCs w:val="24"/>
          <w:lang w:eastAsia="fr-FR"/>
        </w:rPr>
        <w:t>s</w:t>
      </w:r>
      <w:r w:rsidRPr="000E03BC">
        <w:rPr>
          <w:color w:val="000000"/>
          <w:szCs w:val="24"/>
          <w:lang w:eastAsia="fr-FR"/>
        </w:rPr>
        <w:t>truire ». Sur le terrain de la sanction, la difficulté tient au fait que les viols, en tant que crimes, sont jugés par une Cour d’assise, alors que les agressions sexuelles, en tant que délits, sont du ressort du tribunal correctionnel</w:t>
      </w:r>
      <w:r>
        <w:t> </w:t>
      </w:r>
      <w:r>
        <w:rPr>
          <w:rStyle w:val="Appelnotedebasdep"/>
        </w:rPr>
        <w:footnoteReference w:id="50"/>
      </w:r>
      <w:r w:rsidRPr="000E03BC">
        <w:rPr>
          <w:color w:val="000000"/>
          <w:szCs w:val="24"/>
          <w:lang w:eastAsia="fr-FR"/>
        </w:rPr>
        <w:t>.  Or, le tribunal correctionnel est composé de trois m</w:t>
      </w:r>
      <w:r w:rsidRPr="000E03BC">
        <w:rPr>
          <w:color w:val="000000"/>
          <w:szCs w:val="24"/>
          <w:lang w:eastAsia="fr-FR"/>
        </w:rPr>
        <w:t>a</w:t>
      </w:r>
      <w:r w:rsidRPr="000E03BC">
        <w:rPr>
          <w:color w:val="000000"/>
          <w:szCs w:val="24"/>
          <w:lang w:eastAsia="fr-FR"/>
        </w:rPr>
        <w:t>gistrats professionnels, alors que la Cour d’assise associe, dans le pr</w:t>
      </w:r>
      <w:r w:rsidRPr="000E03BC">
        <w:rPr>
          <w:color w:val="000000"/>
          <w:szCs w:val="24"/>
          <w:lang w:eastAsia="fr-FR"/>
        </w:rPr>
        <w:t>o</w:t>
      </w:r>
      <w:r w:rsidRPr="000E03BC">
        <w:rPr>
          <w:color w:val="000000"/>
          <w:szCs w:val="24"/>
          <w:lang w:eastAsia="fr-FR"/>
        </w:rPr>
        <w:t>cessus de jugement, trois magistrats professionnels</w:t>
      </w:r>
      <w:r>
        <w:t> </w:t>
      </w:r>
      <w:r>
        <w:rPr>
          <w:rStyle w:val="Appelnotedebasdep"/>
        </w:rPr>
        <w:footnoteReference w:id="51"/>
      </w:r>
      <w:r w:rsidRPr="000E03BC">
        <w:rPr>
          <w:color w:val="000000"/>
          <w:szCs w:val="24"/>
          <w:lang w:eastAsia="fr-FR"/>
        </w:rPr>
        <w:t xml:space="preserve"> et un jury populaire composé de citoyens</w:t>
      </w:r>
      <w:r>
        <w:t> </w:t>
      </w:r>
      <w:r>
        <w:rPr>
          <w:rStyle w:val="Appelnotedebasdep"/>
        </w:rPr>
        <w:footnoteReference w:id="52"/>
      </w:r>
      <w:r w:rsidRPr="000E03BC">
        <w:rPr>
          <w:color w:val="000000"/>
          <w:szCs w:val="24"/>
          <w:lang w:eastAsia="fr-FR"/>
        </w:rPr>
        <w:t>, qui se prononce sur la culpab</w:t>
      </w:r>
      <w:r w:rsidRPr="000E03BC">
        <w:rPr>
          <w:color w:val="000000"/>
          <w:szCs w:val="24"/>
          <w:lang w:eastAsia="fr-FR"/>
        </w:rPr>
        <w:t>i</w:t>
      </w:r>
      <w:r w:rsidRPr="000E03BC">
        <w:rPr>
          <w:color w:val="000000"/>
          <w:szCs w:val="24"/>
          <w:lang w:eastAsia="fr-FR"/>
        </w:rPr>
        <w:t>lité et sur l’existence éventuelle de circonstances aggravantes ou atténua</w:t>
      </w:r>
      <w:r w:rsidRPr="000E03BC">
        <w:rPr>
          <w:color w:val="000000"/>
          <w:szCs w:val="24"/>
          <w:lang w:eastAsia="fr-FR"/>
        </w:rPr>
        <w:t>n</w:t>
      </w:r>
      <w:r w:rsidRPr="000E03BC">
        <w:rPr>
          <w:color w:val="000000"/>
          <w:szCs w:val="24"/>
          <w:lang w:eastAsia="fr-FR"/>
        </w:rPr>
        <w:t>tes</w:t>
      </w:r>
      <w:r>
        <w:t> </w:t>
      </w:r>
      <w:r>
        <w:rPr>
          <w:rStyle w:val="Appelnotedebasdep"/>
        </w:rPr>
        <w:footnoteReference w:id="53"/>
      </w:r>
      <w:r w:rsidRPr="000E03BC">
        <w:rPr>
          <w:color w:val="000000"/>
          <w:szCs w:val="24"/>
          <w:lang w:eastAsia="fr-FR"/>
        </w:rPr>
        <w:t>.</w:t>
      </w:r>
    </w:p>
    <w:p w14:paraId="130F9E5B" w14:textId="77777777" w:rsidR="00F3214B" w:rsidRPr="000E03BC" w:rsidRDefault="00F3214B" w:rsidP="00F3214B">
      <w:pPr>
        <w:spacing w:before="120" w:after="120"/>
        <w:jc w:val="both"/>
        <w:rPr>
          <w:color w:val="000000"/>
          <w:szCs w:val="24"/>
          <w:lang w:eastAsia="fr-FR"/>
        </w:rPr>
      </w:pPr>
      <w:r>
        <w:rPr>
          <w:color w:val="000000"/>
          <w:szCs w:val="24"/>
          <w:lang w:eastAsia="fr-FR"/>
        </w:rPr>
        <w:t>À</w:t>
      </w:r>
      <w:r w:rsidRPr="000E03BC">
        <w:rPr>
          <w:color w:val="000000"/>
          <w:szCs w:val="24"/>
          <w:lang w:eastAsia="fr-FR"/>
        </w:rPr>
        <w:t xml:space="preserve"> tort ou à raison, les magistrats du Parquet qui pratiquent la co</w:t>
      </w:r>
      <w:r w:rsidRPr="000E03BC">
        <w:rPr>
          <w:color w:val="000000"/>
          <w:szCs w:val="24"/>
          <w:lang w:eastAsia="fr-FR"/>
        </w:rPr>
        <w:t>r</w:t>
      </w:r>
      <w:r w:rsidRPr="000E03BC">
        <w:rPr>
          <w:color w:val="000000"/>
          <w:szCs w:val="24"/>
          <w:lang w:eastAsia="fr-FR"/>
        </w:rPr>
        <w:t>rectionnal</w:t>
      </w:r>
      <w:r w:rsidRPr="000E03BC">
        <w:rPr>
          <w:color w:val="000000"/>
          <w:szCs w:val="24"/>
          <w:lang w:eastAsia="fr-FR"/>
        </w:rPr>
        <w:t>i</w:t>
      </w:r>
      <w:r w:rsidRPr="000E03BC">
        <w:rPr>
          <w:color w:val="000000"/>
          <w:szCs w:val="24"/>
          <w:lang w:eastAsia="fr-FR"/>
        </w:rPr>
        <w:t>sation le font pour partie parce qu’ils se méfient du jury populaire. Loin de vo</w:t>
      </w:r>
      <w:r w:rsidRPr="000E03BC">
        <w:rPr>
          <w:color w:val="000000"/>
          <w:szCs w:val="24"/>
          <w:lang w:eastAsia="fr-FR"/>
        </w:rPr>
        <w:t>u</w:t>
      </w:r>
      <w:r w:rsidRPr="000E03BC">
        <w:rPr>
          <w:color w:val="000000"/>
          <w:szCs w:val="24"/>
          <w:lang w:eastAsia="fr-FR"/>
        </w:rPr>
        <w:t>loir faire preuve d’indulgence envers l’auteur des faits, ils craignent au contraire que cela ne soit le jury qui fasse preuve d’une telle mansuétude en le déclarant non coupable</w:t>
      </w:r>
      <w:r>
        <w:t> </w:t>
      </w:r>
      <w:r>
        <w:rPr>
          <w:rStyle w:val="Appelnotedebasdep"/>
        </w:rPr>
        <w:footnoteReference w:id="54"/>
      </w:r>
      <w:r w:rsidRPr="000E03BC">
        <w:rPr>
          <w:color w:val="000000"/>
          <w:szCs w:val="24"/>
          <w:lang w:eastAsia="fr-FR"/>
        </w:rPr>
        <w:t>. Ils a</w:t>
      </w:r>
      <w:r w:rsidRPr="000E03BC">
        <w:rPr>
          <w:color w:val="000000"/>
          <w:szCs w:val="24"/>
          <w:lang w:eastAsia="fr-FR"/>
        </w:rPr>
        <w:t>f</w:t>
      </w:r>
      <w:r w:rsidRPr="000E03BC">
        <w:rPr>
          <w:color w:val="000000"/>
          <w:szCs w:val="24"/>
          <w:lang w:eastAsia="fr-FR"/>
        </w:rPr>
        <w:t>firment préférer une sanction potentiellement moins lou</w:t>
      </w:r>
      <w:r w:rsidRPr="000E03BC">
        <w:rPr>
          <w:color w:val="000000"/>
          <w:szCs w:val="24"/>
          <w:lang w:eastAsia="fr-FR"/>
        </w:rPr>
        <w:t>r</w:t>
      </w:r>
      <w:r w:rsidRPr="000E03BC">
        <w:rPr>
          <w:color w:val="000000"/>
          <w:szCs w:val="24"/>
          <w:lang w:eastAsia="fr-FR"/>
        </w:rPr>
        <w:t>de que celle qui devrait être encourue, mais certaine, à une sanction hypothét</w:t>
      </w:r>
      <w:r w:rsidRPr="000E03BC">
        <w:rPr>
          <w:color w:val="000000"/>
          <w:szCs w:val="24"/>
          <w:lang w:eastAsia="fr-FR"/>
        </w:rPr>
        <w:t>i</w:t>
      </w:r>
      <w:r w:rsidRPr="000E03BC">
        <w:rPr>
          <w:color w:val="000000"/>
          <w:szCs w:val="24"/>
          <w:lang w:eastAsia="fr-FR"/>
        </w:rPr>
        <w:t>que. Sur le fond du débat, magistrats et militants se renvoient la balle : les mil</w:t>
      </w:r>
      <w:r w:rsidRPr="000E03BC">
        <w:rPr>
          <w:color w:val="000000"/>
          <w:szCs w:val="24"/>
          <w:lang w:eastAsia="fr-FR"/>
        </w:rPr>
        <w:t>i</w:t>
      </w:r>
      <w:r w:rsidRPr="000E03BC">
        <w:rPr>
          <w:color w:val="000000"/>
          <w:szCs w:val="24"/>
          <w:lang w:eastAsia="fr-FR"/>
        </w:rPr>
        <w:t xml:space="preserve">tants accusent les magistrats de faire preuve d’une indulgence coupable ou, </w:t>
      </w:r>
      <w:r w:rsidRPr="000E03BC">
        <w:rPr>
          <w:i/>
          <w:color w:val="000000"/>
          <w:szCs w:val="24"/>
          <w:lang w:eastAsia="fr-FR"/>
        </w:rPr>
        <w:t>a minima,</w:t>
      </w:r>
      <w:r w:rsidRPr="000E03BC">
        <w:rPr>
          <w:color w:val="000000"/>
          <w:szCs w:val="24"/>
          <w:lang w:eastAsia="fr-FR"/>
        </w:rPr>
        <w:t xml:space="preserve"> de baisser les bras ; les magistrats reprochent aux militants d’être co</w:t>
      </w:r>
      <w:r w:rsidRPr="000E03BC">
        <w:rPr>
          <w:color w:val="000000"/>
          <w:szCs w:val="24"/>
          <w:lang w:eastAsia="fr-FR"/>
        </w:rPr>
        <w:t>u</w:t>
      </w:r>
      <w:r w:rsidRPr="000E03BC">
        <w:rPr>
          <w:color w:val="000000"/>
          <w:szCs w:val="24"/>
          <w:lang w:eastAsia="fr-FR"/>
        </w:rPr>
        <w:t xml:space="preserve">pés du réel, de laisser des coupables s’en tirer par idéologie et de perdre ainsi leur temps et leur énergie au lieu de se concentrer sur l’essentiel, soit l’éradication de la </w:t>
      </w:r>
      <w:r w:rsidRPr="000E03BC">
        <w:rPr>
          <w:i/>
          <w:color w:val="000000"/>
          <w:szCs w:val="24"/>
          <w:lang w:eastAsia="fr-FR"/>
        </w:rPr>
        <w:t>« culture du viol »</w:t>
      </w:r>
      <w:r w:rsidRPr="000E03BC">
        <w:rPr>
          <w:color w:val="000000"/>
          <w:szCs w:val="24"/>
          <w:lang w:eastAsia="fr-FR"/>
        </w:rPr>
        <w:t xml:space="preserve"> par l’évolution de la société</w:t>
      </w:r>
      <w:r>
        <w:t> </w:t>
      </w:r>
      <w:r>
        <w:rPr>
          <w:rStyle w:val="Appelnotedebasdep"/>
        </w:rPr>
        <w:footnoteReference w:id="55"/>
      </w:r>
      <w:r w:rsidRPr="000E03BC">
        <w:rPr>
          <w:color w:val="000000"/>
          <w:szCs w:val="24"/>
          <w:lang w:eastAsia="fr-FR"/>
        </w:rPr>
        <w:t>.</w:t>
      </w:r>
    </w:p>
    <w:p w14:paraId="593AB5CA" w14:textId="77777777" w:rsidR="00F3214B" w:rsidRPr="000E03BC" w:rsidRDefault="00F3214B" w:rsidP="00F3214B">
      <w:pPr>
        <w:spacing w:before="120" w:after="120"/>
        <w:jc w:val="both"/>
        <w:rPr>
          <w:color w:val="000000"/>
          <w:szCs w:val="24"/>
          <w:lang w:eastAsia="fr-FR"/>
        </w:rPr>
      </w:pPr>
      <w:r w:rsidRPr="000E03BC">
        <w:rPr>
          <w:color w:val="000000"/>
          <w:szCs w:val="24"/>
          <w:lang w:eastAsia="fr-FR"/>
        </w:rPr>
        <w:lastRenderedPageBreak/>
        <w:t>Ils indiquent également ne procéder généralement à la correctio</w:t>
      </w:r>
      <w:r w:rsidRPr="000E03BC">
        <w:rPr>
          <w:color w:val="000000"/>
          <w:szCs w:val="24"/>
          <w:lang w:eastAsia="fr-FR"/>
        </w:rPr>
        <w:t>n</w:t>
      </w:r>
      <w:r w:rsidRPr="000E03BC">
        <w:rPr>
          <w:color w:val="000000"/>
          <w:szCs w:val="24"/>
          <w:lang w:eastAsia="fr-FR"/>
        </w:rPr>
        <w:t>nalisation qu’après en avoir discuté avec la victime et son avocat et obtenu leur accord, l’opération étant alors présentée comme un choix commun. Les parquetiers indiquent enfin que cette pratique peut co</w:t>
      </w:r>
      <w:r w:rsidRPr="000E03BC">
        <w:rPr>
          <w:color w:val="000000"/>
          <w:szCs w:val="24"/>
          <w:lang w:eastAsia="fr-FR"/>
        </w:rPr>
        <w:t>r</w:t>
      </w:r>
      <w:r w:rsidRPr="000E03BC">
        <w:rPr>
          <w:color w:val="000000"/>
          <w:szCs w:val="24"/>
          <w:lang w:eastAsia="fr-FR"/>
        </w:rPr>
        <w:t>respondre aux souhaits de victimes qui, tout en désirant une sanction du coupable, veulent également que la procédure soit la plus rapide et la plus discrète possible.</w:t>
      </w:r>
    </w:p>
    <w:p w14:paraId="3C5CF115" w14:textId="77777777" w:rsidR="00F3214B" w:rsidRPr="000E03BC" w:rsidRDefault="00F3214B" w:rsidP="00F3214B">
      <w:pPr>
        <w:spacing w:before="120" w:after="120"/>
        <w:jc w:val="both"/>
        <w:rPr>
          <w:color w:val="000000"/>
          <w:szCs w:val="24"/>
          <w:lang w:eastAsia="fr-FR"/>
        </w:rPr>
      </w:pPr>
      <w:r w:rsidRPr="000E03BC">
        <w:rPr>
          <w:color w:val="000000"/>
          <w:szCs w:val="24"/>
          <w:lang w:eastAsia="fr-FR"/>
        </w:rPr>
        <w:t>La frénésie réformatrice des législateurs français contemporains pourrait trouver ici lieu à s’exercer en proposant de modifier la loi pour permettre aux victimes de disposer, sur proposition du Parquet, d’une potentialité d’option entre des poursuites criminelles ou corre</w:t>
      </w:r>
      <w:r w:rsidRPr="000E03BC">
        <w:rPr>
          <w:color w:val="000000"/>
          <w:szCs w:val="24"/>
          <w:lang w:eastAsia="fr-FR"/>
        </w:rPr>
        <w:t>c</w:t>
      </w:r>
      <w:r w:rsidRPr="000E03BC">
        <w:rPr>
          <w:color w:val="000000"/>
          <w:szCs w:val="24"/>
          <w:lang w:eastAsia="fr-FR"/>
        </w:rPr>
        <w:t>tionnelles. La pratique deviendrait, de ce fait, légale, mais il faudrait, pour que cette évolution puisse avoir lieu, que les politiciens français s’affranchissent de leur obsession de la sanction en faisant passer l’intérêt de la victime au premier plan.</w:t>
      </w:r>
    </w:p>
    <w:p w14:paraId="54997F48" w14:textId="77777777" w:rsidR="00F3214B" w:rsidRDefault="00F3214B" w:rsidP="00F3214B">
      <w:pPr>
        <w:spacing w:before="120" w:after="120"/>
        <w:jc w:val="both"/>
        <w:rPr>
          <w:color w:val="000000"/>
          <w:szCs w:val="24"/>
          <w:lang w:eastAsia="fr-FR"/>
        </w:rPr>
      </w:pPr>
      <w:r w:rsidRPr="000E03BC">
        <w:rPr>
          <w:color w:val="000000"/>
          <w:szCs w:val="24"/>
          <w:lang w:eastAsia="fr-FR"/>
        </w:rPr>
        <w:t>Au-delà de la correctionnalisation, la création de l’outrage sexiste a fait apparaître une possibilité de contraventionnalisation</w:t>
      </w:r>
      <w:r>
        <w:t> </w:t>
      </w:r>
      <w:r>
        <w:rPr>
          <w:rStyle w:val="Appelnotedebasdep"/>
        </w:rPr>
        <w:footnoteReference w:id="56"/>
      </w:r>
      <w:r w:rsidRPr="000E03BC">
        <w:rPr>
          <w:color w:val="000000"/>
          <w:szCs w:val="24"/>
          <w:lang w:eastAsia="fr-FR"/>
        </w:rPr>
        <w:t>. Cette s</w:t>
      </w:r>
      <w:r w:rsidRPr="000E03BC">
        <w:rPr>
          <w:color w:val="000000"/>
          <w:szCs w:val="24"/>
          <w:lang w:eastAsia="fr-FR"/>
        </w:rPr>
        <w:t>i</w:t>
      </w:r>
      <w:r w:rsidRPr="000E03BC">
        <w:rPr>
          <w:color w:val="000000"/>
          <w:szCs w:val="24"/>
          <w:lang w:eastAsia="fr-FR"/>
        </w:rPr>
        <w:t>tuation recouvre l’hypothèse d’une agression verbale devenue phys</w:t>
      </w:r>
      <w:r w:rsidRPr="000E03BC">
        <w:rPr>
          <w:color w:val="000000"/>
          <w:szCs w:val="24"/>
          <w:lang w:eastAsia="fr-FR"/>
        </w:rPr>
        <w:t>i</w:t>
      </w:r>
      <w:r w:rsidRPr="000E03BC">
        <w:rPr>
          <w:color w:val="000000"/>
          <w:szCs w:val="24"/>
          <w:lang w:eastAsia="fr-FR"/>
        </w:rPr>
        <w:t xml:space="preserve">que, soit, par exemple, des propos outrageants suivis d’une </w:t>
      </w:r>
      <w:r w:rsidRPr="000E03BC">
        <w:rPr>
          <w:i/>
          <w:color w:val="000000"/>
          <w:szCs w:val="24"/>
          <w:lang w:eastAsia="fr-FR"/>
        </w:rPr>
        <w:t>« main aux fesses ».</w:t>
      </w:r>
      <w:r w:rsidRPr="000E03BC">
        <w:rPr>
          <w:color w:val="000000"/>
          <w:szCs w:val="24"/>
          <w:lang w:eastAsia="fr-FR"/>
        </w:rPr>
        <w:t xml:space="preserve"> En l’espèce, la contrave</w:t>
      </w:r>
      <w:r w:rsidRPr="000E03BC">
        <w:rPr>
          <w:color w:val="000000"/>
          <w:szCs w:val="24"/>
          <w:lang w:eastAsia="fr-FR"/>
        </w:rPr>
        <w:t>n</w:t>
      </w:r>
      <w:r w:rsidRPr="000E03BC">
        <w:rPr>
          <w:color w:val="000000"/>
          <w:szCs w:val="24"/>
          <w:lang w:eastAsia="fr-FR"/>
        </w:rPr>
        <w:t xml:space="preserve">tionnalisation consisterait dans le fait </w:t>
      </w:r>
      <w:r w:rsidRPr="000E03BC">
        <w:rPr>
          <w:i/>
          <w:color w:val="000000"/>
          <w:szCs w:val="24"/>
          <w:lang w:eastAsia="fr-FR"/>
        </w:rPr>
        <w:t>« d’oublier »</w:t>
      </w:r>
      <w:r w:rsidRPr="000E03BC">
        <w:rPr>
          <w:color w:val="000000"/>
          <w:szCs w:val="24"/>
          <w:lang w:eastAsia="fr-FR"/>
        </w:rPr>
        <w:t xml:space="preserve"> la partie finale physique de l’agression pour ne ret</w:t>
      </w:r>
      <w:r w:rsidRPr="000E03BC">
        <w:rPr>
          <w:color w:val="000000"/>
          <w:szCs w:val="24"/>
          <w:lang w:eastAsia="fr-FR"/>
        </w:rPr>
        <w:t>e</w:t>
      </w:r>
      <w:r w:rsidRPr="000E03BC">
        <w:rPr>
          <w:color w:val="000000"/>
          <w:szCs w:val="24"/>
          <w:lang w:eastAsia="fr-FR"/>
        </w:rPr>
        <w:t>nir de celle-ci que l’outrage sexiste, plus facile à traiter du fait qu’il ne nécessite qu’un passage devant le tribunal de police, juridi</w:t>
      </w:r>
      <w:r w:rsidRPr="000E03BC">
        <w:rPr>
          <w:color w:val="000000"/>
          <w:szCs w:val="24"/>
          <w:lang w:eastAsia="fr-FR"/>
        </w:rPr>
        <w:t>c</w:t>
      </w:r>
      <w:r w:rsidRPr="000E03BC">
        <w:rPr>
          <w:color w:val="000000"/>
          <w:szCs w:val="24"/>
          <w:lang w:eastAsia="fr-FR"/>
        </w:rPr>
        <w:t>tion à juge unique, voire qu’il permet de s’affranchir de la convoc</w:t>
      </w:r>
      <w:r w:rsidRPr="000E03BC">
        <w:rPr>
          <w:color w:val="000000"/>
          <w:szCs w:val="24"/>
          <w:lang w:eastAsia="fr-FR"/>
        </w:rPr>
        <w:t>a</w:t>
      </w:r>
      <w:r w:rsidRPr="000E03BC">
        <w:rPr>
          <w:color w:val="000000"/>
          <w:szCs w:val="24"/>
          <w:lang w:eastAsia="fr-FR"/>
        </w:rPr>
        <w:t>tion devant le tribunal en usant de la procédure d’amende forfaita</w:t>
      </w:r>
      <w:r w:rsidRPr="000E03BC">
        <w:rPr>
          <w:color w:val="000000"/>
          <w:szCs w:val="24"/>
          <w:lang w:eastAsia="fr-FR"/>
        </w:rPr>
        <w:t>i</w:t>
      </w:r>
      <w:r w:rsidRPr="000E03BC">
        <w:rPr>
          <w:color w:val="000000"/>
          <w:szCs w:val="24"/>
          <w:lang w:eastAsia="fr-FR"/>
        </w:rPr>
        <w:t>re</w:t>
      </w:r>
      <w:r>
        <w:t> </w:t>
      </w:r>
      <w:r>
        <w:rPr>
          <w:rStyle w:val="Appelnotedebasdep"/>
        </w:rPr>
        <w:footnoteReference w:id="57"/>
      </w:r>
      <w:r w:rsidRPr="000E03BC">
        <w:rPr>
          <w:color w:val="000000"/>
          <w:szCs w:val="24"/>
          <w:lang w:eastAsia="fr-FR"/>
        </w:rPr>
        <w:t>.</w:t>
      </w:r>
    </w:p>
    <w:p w14:paraId="1FB4C007" w14:textId="77777777" w:rsidR="00F3214B" w:rsidRPr="000E03BC" w:rsidRDefault="00F3214B" w:rsidP="00F3214B">
      <w:pPr>
        <w:spacing w:before="120" w:after="120"/>
        <w:jc w:val="both"/>
        <w:rPr>
          <w:color w:val="000000"/>
          <w:szCs w:val="24"/>
          <w:lang w:eastAsia="fr-FR"/>
        </w:rPr>
      </w:pPr>
    </w:p>
    <w:p w14:paraId="7437A255" w14:textId="77777777" w:rsidR="00F3214B" w:rsidRPr="000E03BC" w:rsidRDefault="00F3214B" w:rsidP="00F3214B">
      <w:pPr>
        <w:spacing w:before="120" w:after="120"/>
        <w:jc w:val="both"/>
        <w:rPr>
          <w:color w:val="000000"/>
          <w:szCs w:val="24"/>
          <w:lang w:eastAsia="fr-FR"/>
        </w:rPr>
      </w:pPr>
      <w:r w:rsidRPr="000E03BC">
        <w:rPr>
          <w:color w:val="000000"/>
          <w:szCs w:val="24"/>
          <w:lang w:eastAsia="fr-FR"/>
        </w:rPr>
        <w:lastRenderedPageBreak/>
        <w:t>Ce risque de contraventionnalisation d’une agression sexuelle, ou de faits de harcèlement sexuel</w:t>
      </w:r>
      <w:r>
        <w:t> </w:t>
      </w:r>
      <w:r>
        <w:rPr>
          <w:rStyle w:val="Appelnotedebasdep"/>
        </w:rPr>
        <w:footnoteReference w:id="58"/>
      </w:r>
      <w:r w:rsidRPr="000E03BC">
        <w:rPr>
          <w:color w:val="000000"/>
          <w:szCs w:val="24"/>
          <w:lang w:eastAsia="fr-FR"/>
        </w:rPr>
        <w:t>, peut apparaître d’autant plus susce</w:t>
      </w:r>
      <w:r w:rsidRPr="000E03BC">
        <w:rPr>
          <w:color w:val="000000"/>
          <w:szCs w:val="24"/>
          <w:lang w:eastAsia="fr-FR"/>
        </w:rPr>
        <w:t>p</w:t>
      </w:r>
      <w:r w:rsidRPr="000E03BC">
        <w:rPr>
          <w:color w:val="000000"/>
          <w:szCs w:val="24"/>
          <w:lang w:eastAsia="fr-FR"/>
        </w:rPr>
        <w:t>tible de se réaliser que les associations et personnes militant contre le harcèlement de rue recueillent régulièrement des témoign</w:t>
      </w:r>
      <w:r w:rsidRPr="000E03BC">
        <w:rPr>
          <w:color w:val="000000"/>
          <w:szCs w:val="24"/>
          <w:lang w:eastAsia="fr-FR"/>
        </w:rPr>
        <w:t>a</w:t>
      </w:r>
      <w:r w:rsidRPr="000E03BC">
        <w:rPr>
          <w:color w:val="000000"/>
          <w:szCs w:val="24"/>
          <w:lang w:eastAsia="fr-FR"/>
        </w:rPr>
        <w:t>ges de femmes se disant victimes et affirmant avoir fait l’objet, lors de tent</w:t>
      </w:r>
      <w:r w:rsidRPr="000E03BC">
        <w:rPr>
          <w:color w:val="000000"/>
          <w:szCs w:val="24"/>
          <w:lang w:eastAsia="fr-FR"/>
        </w:rPr>
        <w:t>a</w:t>
      </w:r>
      <w:r w:rsidRPr="000E03BC">
        <w:rPr>
          <w:color w:val="000000"/>
          <w:szCs w:val="24"/>
          <w:lang w:eastAsia="fr-FR"/>
        </w:rPr>
        <w:t>tives de dépôt de plainte, de remarques de policiers ou de ge</w:t>
      </w:r>
      <w:r w:rsidRPr="000E03BC">
        <w:rPr>
          <w:color w:val="000000"/>
          <w:szCs w:val="24"/>
          <w:lang w:eastAsia="fr-FR"/>
        </w:rPr>
        <w:t>n</w:t>
      </w:r>
      <w:r w:rsidRPr="000E03BC">
        <w:rPr>
          <w:color w:val="000000"/>
          <w:szCs w:val="24"/>
          <w:lang w:eastAsia="fr-FR"/>
        </w:rPr>
        <w:t>darmes tendant à minimiser les faits ou à chercher des excuses aux agresseurs. C’est ce qu’a notamment déclaré en 2019, à l’agence de presse AFP</w:t>
      </w:r>
      <w:r>
        <w:t> </w:t>
      </w:r>
      <w:r>
        <w:rPr>
          <w:rStyle w:val="Appelnotedebasdep"/>
        </w:rPr>
        <w:footnoteReference w:id="59"/>
      </w:r>
      <w:r w:rsidRPr="000E03BC">
        <w:rPr>
          <w:color w:val="000000"/>
          <w:szCs w:val="24"/>
          <w:lang w:eastAsia="fr-FR"/>
        </w:rPr>
        <w:t>, la bloggeuse et militante Anaïs Boudet en se fo</w:t>
      </w:r>
      <w:r w:rsidRPr="000E03BC">
        <w:rPr>
          <w:color w:val="000000"/>
          <w:szCs w:val="24"/>
          <w:lang w:eastAsia="fr-FR"/>
        </w:rPr>
        <w:t>n</w:t>
      </w:r>
      <w:r w:rsidRPr="000E03BC">
        <w:rPr>
          <w:color w:val="000000"/>
          <w:szCs w:val="24"/>
          <w:lang w:eastAsia="fr-FR"/>
        </w:rPr>
        <w:t>dant sur les témo</w:t>
      </w:r>
      <w:r w:rsidRPr="000E03BC">
        <w:rPr>
          <w:color w:val="000000"/>
          <w:szCs w:val="24"/>
          <w:lang w:eastAsia="fr-FR"/>
        </w:rPr>
        <w:t>i</w:t>
      </w:r>
      <w:r w:rsidRPr="000E03BC">
        <w:rPr>
          <w:color w:val="000000"/>
          <w:szCs w:val="24"/>
          <w:lang w:eastAsia="fr-FR"/>
        </w:rPr>
        <w:t>gnages</w:t>
      </w:r>
      <w:r>
        <w:t> </w:t>
      </w:r>
      <w:r>
        <w:rPr>
          <w:rStyle w:val="Appelnotedebasdep"/>
        </w:rPr>
        <w:footnoteReference w:id="60"/>
      </w:r>
      <w:r w:rsidRPr="000E03BC">
        <w:rPr>
          <w:color w:val="000000"/>
          <w:szCs w:val="24"/>
          <w:lang w:eastAsia="fr-FR"/>
        </w:rPr>
        <w:t xml:space="preserve"> recueillis sur son site internet </w:t>
      </w:r>
      <w:r w:rsidRPr="000E03BC">
        <w:rPr>
          <w:i/>
          <w:color w:val="000000"/>
          <w:szCs w:val="24"/>
          <w:lang w:eastAsia="fr-FR"/>
        </w:rPr>
        <w:t xml:space="preserve">« Paye ta Schnek » : « On leur demande si elles avaient bu ou comment elles étaient </w:t>
      </w:r>
      <w:proofErr w:type="gramStart"/>
      <w:r w:rsidRPr="000E03BC">
        <w:rPr>
          <w:i/>
          <w:color w:val="000000"/>
          <w:szCs w:val="24"/>
          <w:lang w:eastAsia="fr-FR"/>
        </w:rPr>
        <w:t>habi</w:t>
      </w:r>
      <w:r w:rsidRPr="000E03BC">
        <w:rPr>
          <w:i/>
          <w:color w:val="000000"/>
          <w:szCs w:val="24"/>
          <w:lang w:eastAsia="fr-FR"/>
        </w:rPr>
        <w:t>l</w:t>
      </w:r>
      <w:r w:rsidRPr="000E03BC">
        <w:rPr>
          <w:i/>
          <w:color w:val="000000"/>
          <w:szCs w:val="24"/>
          <w:lang w:eastAsia="fr-FR"/>
        </w:rPr>
        <w:t>lés</w:t>
      </w:r>
      <w:proofErr w:type="gramEnd"/>
      <w:r w:rsidRPr="000E03BC">
        <w:rPr>
          <w:i/>
          <w:color w:val="000000"/>
          <w:szCs w:val="24"/>
          <w:lang w:eastAsia="fr-FR"/>
        </w:rPr>
        <w:t>, ou bien on leur dit que ce n’est pas grave, qu’elles vont s’en r</w:t>
      </w:r>
      <w:r w:rsidRPr="000E03BC">
        <w:rPr>
          <w:i/>
          <w:color w:val="000000"/>
          <w:szCs w:val="24"/>
          <w:lang w:eastAsia="fr-FR"/>
        </w:rPr>
        <w:t>e</w:t>
      </w:r>
      <w:r w:rsidRPr="000E03BC">
        <w:rPr>
          <w:i/>
          <w:color w:val="000000"/>
          <w:szCs w:val="24"/>
          <w:lang w:eastAsia="fr-FR"/>
        </w:rPr>
        <w:t>mettre »</w:t>
      </w:r>
      <w:r>
        <w:t> </w:t>
      </w:r>
      <w:r>
        <w:rPr>
          <w:rStyle w:val="Appelnotedebasdep"/>
        </w:rPr>
        <w:footnoteReference w:id="61"/>
      </w:r>
      <w:r w:rsidRPr="000E03BC">
        <w:rPr>
          <w:i/>
          <w:color w:val="000000"/>
          <w:szCs w:val="24"/>
          <w:lang w:eastAsia="fr-FR"/>
        </w:rPr>
        <w:t>.</w:t>
      </w:r>
    </w:p>
    <w:p w14:paraId="155B9643" w14:textId="77777777" w:rsidR="00F3214B" w:rsidRPr="000E03BC" w:rsidRDefault="00F3214B" w:rsidP="00F3214B">
      <w:pPr>
        <w:spacing w:before="120" w:after="120"/>
        <w:jc w:val="both"/>
        <w:rPr>
          <w:color w:val="000000"/>
          <w:szCs w:val="24"/>
          <w:lang w:eastAsia="fr-FR"/>
        </w:rPr>
      </w:pPr>
      <w:r w:rsidRPr="000E03BC">
        <w:rPr>
          <w:color w:val="000000"/>
          <w:szCs w:val="24"/>
          <w:lang w:eastAsia="fr-FR"/>
        </w:rPr>
        <w:t>Plus surprenant encore est le fait que le site internet Chec</w:t>
      </w:r>
      <w:r w:rsidRPr="000E03BC">
        <w:rPr>
          <w:color w:val="000000"/>
          <w:szCs w:val="24"/>
          <w:lang w:eastAsia="fr-FR"/>
        </w:rPr>
        <w:t>k</w:t>
      </w:r>
      <w:r w:rsidRPr="000E03BC">
        <w:rPr>
          <w:color w:val="000000"/>
          <w:szCs w:val="24"/>
          <w:lang w:eastAsia="fr-FR"/>
        </w:rPr>
        <w:t>sNews</w:t>
      </w:r>
      <w:r>
        <w:t> </w:t>
      </w:r>
      <w:r>
        <w:rPr>
          <w:rStyle w:val="Appelnotedebasdep"/>
        </w:rPr>
        <w:footnoteReference w:id="62"/>
      </w:r>
      <w:r w:rsidRPr="000E03BC">
        <w:rPr>
          <w:color w:val="000000"/>
          <w:szCs w:val="24"/>
          <w:lang w:eastAsia="fr-FR"/>
        </w:rPr>
        <w:t xml:space="preserve"> ait pu a</w:t>
      </w:r>
      <w:r w:rsidRPr="000E03BC">
        <w:rPr>
          <w:color w:val="000000"/>
          <w:szCs w:val="24"/>
          <w:lang w:eastAsia="fr-FR"/>
        </w:rPr>
        <w:t>f</w:t>
      </w:r>
      <w:r w:rsidRPr="000E03BC">
        <w:rPr>
          <w:color w:val="000000"/>
          <w:szCs w:val="24"/>
          <w:lang w:eastAsia="fr-FR"/>
        </w:rPr>
        <w:t xml:space="preserve">firmer sans être démenti, en janvier 2022, que le </w:t>
      </w:r>
      <w:proofErr w:type="gramStart"/>
      <w:r w:rsidRPr="000E03BC">
        <w:rPr>
          <w:color w:val="000000"/>
          <w:szCs w:val="24"/>
          <w:lang w:eastAsia="fr-FR"/>
        </w:rPr>
        <w:t>Ministère</w:t>
      </w:r>
      <w:proofErr w:type="gramEnd"/>
      <w:r w:rsidRPr="000E03BC">
        <w:rPr>
          <w:color w:val="000000"/>
          <w:szCs w:val="24"/>
          <w:lang w:eastAsia="fr-FR"/>
        </w:rPr>
        <w:t xml:space="preserve"> de la Justice était dans l’incapacité de fournir des chiffres relatifs au nombre d’amendes forfaitaires délivrées pour outrage sexi</w:t>
      </w:r>
      <w:r w:rsidRPr="000E03BC">
        <w:rPr>
          <w:color w:val="000000"/>
          <w:szCs w:val="24"/>
          <w:lang w:eastAsia="fr-FR"/>
        </w:rPr>
        <w:t>s</w:t>
      </w:r>
      <w:r w:rsidRPr="000E03BC">
        <w:rPr>
          <w:color w:val="000000"/>
          <w:szCs w:val="24"/>
          <w:lang w:eastAsia="fr-FR"/>
        </w:rPr>
        <w:t>te, seules celles ayant fait l’objet d’une contest</w:t>
      </w:r>
      <w:r w:rsidRPr="000E03BC">
        <w:rPr>
          <w:color w:val="000000"/>
          <w:szCs w:val="24"/>
          <w:lang w:eastAsia="fr-FR"/>
        </w:rPr>
        <w:t>a</w:t>
      </w:r>
      <w:r w:rsidRPr="000E03BC">
        <w:rPr>
          <w:color w:val="000000"/>
          <w:szCs w:val="24"/>
          <w:lang w:eastAsia="fr-FR"/>
        </w:rPr>
        <w:t xml:space="preserve">tion judiciaire </w:t>
      </w:r>
      <w:r w:rsidRPr="000E03BC">
        <w:rPr>
          <w:color w:val="000000"/>
          <w:szCs w:val="24"/>
          <w:lang w:eastAsia="fr-FR"/>
        </w:rPr>
        <w:lastRenderedPageBreak/>
        <w:t>étant enregistrées par ses services</w:t>
      </w:r>
      <w:r>
        <w:t> </w:t>
      </w:r>
      <w:r>
        <w:rPr>
          <w:rStyle w:val="Appelnotedebasdep"/>
        </w:rPr>
        <w:footnoteReference w:id="63"/>
      </w:r>
      <w:r w:rsidRPr="000E03BC">
        <w:rPr>
          <w:color w:val="000000"/>
          <w:szCs w:val="24"/>
          <w:lang w:eastAsia="fr-FR"/>
        </w:rPr>
        <w:t>. S’il peut paraître compréhensible de voir ce mini</w:t>
      </w:r>
      <w:r w:rsidRPr="000E03BC">
        <w:rPr>
          <w:color w:val="000000"/>
          <w:szCs w:val="24"/>
          <w:lang w:eastAsia="fr-FR"/>
        </w:rPr>
        <w:t>s</w:t>
      </w:r>
      <w:r w:rsidRPr="000E03BC">
        <w:rPr>
          <w:color w:val="000000"/>
          <w:szCs w:val="24"/>
          <w:lang w:eastAsia="fr-FR"/>
        </w:rPr>
        <w:t>tère se préoccuper avant tout de ce qui relève de l’activité des trib</w:t>
      </w:r>
      <w:r w:rsidRPr="000E03BC">
        <w:rPr>
          <w:color w:val="000000"/>
          <w:szCs w:val="24"/>
          <w:lang w:eastAsia="fr-FR"/>
        </w:rPr>
        <w:t>u</w:t>
      </w:r>
      <w:r w:rsidRPr="000E03BC">
        <w:rPr>
          <w:color w:val="000000"/>
          <w:szCs w:val="24"/>
          <w:lang w:eastAsia="fr-FR"/>
        </w:rPr>
        <w:t>naux, il est préoccupant de voir ainsi sectoriser à outrance la lutte contre le harcèlement de rue et l’évaluation de ses résultats, alors que l’efficacité supposerait une action globale, ou tout au moins une coo</w:t>
      </w:r>
      <w:r w:rsidRPr="000E03BC">
        <w:rPr>
          <w:color w:val="000000"/>
          <w:szCs w:val="24"/>
          <w:lang w:eastAsia="fr-FR"/>
        </w:rPr>
        <w:t>r</w:t>
      </w:r>
      <w:r w:rsidRPr="000E03BC">
        <w:rPr>
          <w:color w:val="000000"/>
          <w:szCs w:val="24"/>
          <w:lang w:eastAsia="fr-FR"/>
        </w:rPr>
        <w:t>dination de l’action des différents ministères.</w:t>
      </w:r>
    </w:p>
    <w:p w14:paraId="75A033B8" w14:textId="77777777" w:rsidR="00F3214B" w:rsidRPr="000E03BC" w:rsidRDefault="00F3214B" w:rsidP="00F3214B">
      <w:pPr>
        <w:spacing w:before="120" w:after="120"/>
        <w:jc w:val="both"/>
        <w:rPr>
          <w:color w:val="000000"/>
          <w:szCs w:val="24"/>
          <w:lang w:eastAsia="fr-FR"/>
        </w:rPr>
      </w:pPr>
      <w:r w:rsidRPr="000E03BC">
        <w:rPr>
          <w:color w:val="000000"/>
          <w:szCs w:val="24"/>
          <w:lang w:eastAsia="fr-FR"/>
        </w:rPr>
        <w:t xml:space="preserve">En l’état actuel des choses, il faut apparemment se tourner vers le </w:t>
      </w:r>
      <w:proofErr w:type="gramStart"/>
      <w:r w:rsidRPr="000E03BC">
        <w:rPr>
          <w:color w:val="000000"/>
          <w:szCs w:val="24"/>
          <w:lang w:eastAsia="fr-FR"/>
        </w:rPr>
        <w:t>Ministère de l’Intérieur</w:t>
      </w:r>
      <w:proofErr w:type="gramEnd"/>
      <w:r w:rsidRPr="000E03BC">
        <w:rPr>
          <w:color w:val="000000"/>
          <w:szCs w:val="24"/>
          <w:lang w:eastAsia="fr-FR"/>
        </w:rPr>
        <w:t xml:space="preserve"> pour connaître le nombre d’amendes forfaita</w:t>
      </w:r>
      <w:r w:rsidRPr="000E03BC">
        <w:rPr>
          <w:color w:val="000000"/>
          <w:szCs w:val="24"/>
          <w:lang w:eastAsia="fr-FR"/>
        </w:rPr>
        <w:t>i</w:t>
      </w:r>
      <w:r w:rsidRPr="000E03BC">
        <w:rPr>
          <w:color w:val="000000"/>
          <w:szCs w:val="24"/>
          <w:lang w:eastAsia="fr-FR"/>
        </w:rPr>
        <w:t>res délivrées, faire appel au Ministère de la Justice pour savoir co</w:t>
      </w:r>
      <w:r w:rsidRPr="000E03BC">
        <w:rPr>
          <w:color w:val="000000"/>
          <w:szCs w:val="24"/>
          <w:lang w:eastAsia="fr-FR"/>
        </w:rPr>
        <w:t>m</w:t>
      </w:r>
      <w:r w:rsidRPr="000E03BC">
        <w:rPr>
          <w:color w:val="000000"/>
          <w:szCs w:val="24"/>
          <w:lang w:eastAsia="fr-FR"/>
        </w:rPr>
        <w:t>bien d’entre elles ont fait l’objet d’une contestation devant les trib</w:t>
      </w:r>
      <w:r w:rsidRPr="000E03BC">
        <w:rPr>
          <w:color w:val="000000"/>
          <w:szCs w:val="24"/>
          <w:lang w:eastAsia="fr-FR"/>
        </w:rPr>
        <w:t>u</w:t>
      </w:r>
      <w:r w:rsidRPr="000E03BC">
        <w:rPr>
          <w:color w:val="000000"/>
          <w:szCs w:val="24"/>
          <w:lang w:eastAsia="fr-FR"/>
        </w:rPr>
        <w:t>naux, et solliciter le Ministère des Finances pour connaitre le taux de recouvrement et le montant total des sommes ainsi r</w:t>
      </w:r>
      <w:r w:rsidRPr="000E03BC">
        <w:rPr>
          <w:color w:val="000000"/>
          <w:szCs w:val="24"/>
          <w:lang w:eastAsia="fr-FR"/>
        </w:rPr>
        <w:t>é</w:t>
      </w:r>
      <w:r w:rsidRPr="000E03BC">
        <w:rPr>
          <w:color w:val="000000"/>
          <w:szCs w:val="24"/>
          <w:lang w:eastAsia="fr-FR"/>
        </w:rPr>
        <w:t>coltées</w:t>
      </w:r>
      <w:r>
        <w:t> </w:t>
      </w:r>
      <w:r>
        <w:rPr>
          <w:rStyle w:val="Appelnotedebasdep"/>
        </w:rPr>
        <w:footnoteReference w:id="64"/>
      </w:r>
      <w:r w:rsidRPr="000E03BC">
        <w:rPr>
          <w:color w:val="000000"/>
          <w:szCs w:val="24"/>
          <w:lang w:eastAsia="fr-FR"/>
        </w:rPr>
        <w:t>. Dans un souci d’efficience, il serait à souhaiter qu’une commission interm</w:t>
      </w:r>
      <w:r w:rsidRPr="000E03BC">
        <w:rPr>
          <w:color w:val="000000"/>
          <w:szCs w:val="24"/>
          <w:lang w:eastAsia="fr-FR"/>
        </w:rPr>
        <w:t>i</w:t>
      </w:r>
      <w:r w:rsidRPr="000E03BC">
        <w:rPr>
          <w:color w:val="000000"/>
          <w:szCs w:val="24"/>
          <w:lang w:eastAsia="fr-FR"/>
        </w:rPr>
        <w:t>nistérielle soit chargée de regrouper, de comparer</w:t>
      </w:r>
      <w:r>
        <w:t> </w:t>
      </w:r>
      <w:r>
        <w:rPr>
          <w:rStyle w:val="Appelnotedebasdep"/>
        </w:rPr>
        <w:footnoteReference w:id="65"/>
      </w:r>
      <w:r w:rsidRPr="000E03BC">
        <w:rPr>
          <w:color w:val="000000"/>
          <w:szCs w:val="24"/>
          <w:lang w:eastAsia="fr-FR"/>
        </w:rPr>
        <w:t xml:space="preserve"> et d’analyser ces chiffres.</w:t>
      </w:r>
    </w:p>
    <w:p w14:paraId="1DED2091" w14:textId="77777777" w:rsidR="00F3214B" w:rsidRPr="000E03BC" w:rsidRDefault="00F3214B" w:rsidP="00F3214B">
      <w:pPr>
        <w:spacing w:before="120" w:after="120"/>
        <w:jc w:val="both"/>
        <w:rPr>
          <w:color w:val="000000"/>
          <w:szCs w:val="24"/>
          <w:lang w:eastAsia="fr-FR"/>
        </w:rPr>
      </w:pPr>
      <w:r w:rsidRPr="000E03BC">
        <w:rPr>
          <w:color w:val="000000"/>
          <w:szCs w:val="24"/>
          <w:lang w:eastAsia="fr-FR"/>
        </w:rPr>
        <w:t>Une telle opération montrerait vraisemblablement que le choix e</w:t>
      </w:r>
      <w:r w:rsidRPr="000E03BC">
        <w:rPr>
          <w:color w:val="000000"/>
          <w:szCs w:val="24"/>
          <w:lang w:eastAsia="fr-FR"/>
        </w:rPr>
        <w:t>f</w:t>
      </w:r>
      <w:r w:rsidRPr="000E03BC">
        <w:rPr>
          <w:color w:val="000000"/>
          <w:szCs w:val="24"/>
          <w:lang w:eastAsia="fr-FR"/>
        </w:rPr>
        <w:t>fectué par le gouvernement et le législateur en matière de lutte contre le harcèlement de rue manque dramatiquement d’efficacité. C’est ce que tendent déjà à démontrer les analyses des statistiques publiées en juillet 2021 et 2022 par le Service Statistique Ministériel de la Sécur</w:t>
      </w:r>
      <w:r w:rsidRPr="000E03BC">
        <w:rPr>
          <w:color w:val="000000"/>
          <w:szCs w:val="24"/>
          <w:lang w:eastAsia="fr-FR"/>
        </w:rPr>
        <w:t>i</w:t>
      </w:r>
      <w:r w:rsidRPr="000E03BC">
        <w:rPr>
          <w:color w:val="000000"/>
          <w:szCs w:val="24"/>
          <w:lang w:eastAsia="fr-FR"/>
        </w:rPr>
        <w:t>té Intérieure</w:t>
      </w:r>
      <w:r>
        <w:t> </w:t>
      </w:r>
      <w:r>
        <w:rPr>
          <w:rStyle w:val="Appelnotedebasdep"/>
        </w:rPr>
        <w:footnoteReference w:id="66"/>
      </w:r>
      <w:r w:rsidRPr="000E03BC">
        <w:rPr>
          <w:color w:val="000000"/>
          <w:szCs w:val="24"/>
          <w:lang w:eastAsia="fr-FR"/>
        </w:rPr>
        <w:t xml:space="preserve"> (SSMSI).</w:t>
      </w:r>
    </w:p>
    <w:p w14:paraId="2D0724EE" w14:textId="77777777" w:rsidR="00F3214B" w:rsidRPr="000E03BC" w:rsidRDefault="00F3214B" w:rsidP="00F3214B">
      <w:pPr>
        <w:spacing w:before="120" w:after="120"/>
        <w:jc w:val="both"/>
        <w:rPr>
          <w:color w:val="000000"/>
          <w:szCs w:val="24"/>
          <w:lang w:eastAsia="fr-FR"/>
        </w:rPr>
      </w:pPr>
      <w:r w:rsidRPr="000E03BC">
        <w:rPr>
          <w:color w:val="000000"/>
          <w:szCs w:val="24"/>
          <w:lang w:eastAsia="fr-FR"/>
        </w:rPr>
        <w:lastRenderedPageBreak/>
        <w:t>Le rapprochement des données issues de ces deux documents mointre que le nombre de contraventions dressées va croissant, pa</w:t>
      </w:r>
      <w:r w:rsidRPr="000E03BC">
        <w:rPr>
          <w:color w:val="000000"/>
          <w:szCs w:val="24"/>
          <w:lang w:eastAsia="fr-FR"/>
        </w:rPr>
        <w:t>s</w:t>
      </w:r>
      <w:r w:rsidRPr="000E03BC">
        <w:rPr>
          <w:color w:val="000000"/>
          <w:szCs w:val="24"/>
          <w:lang w:eastAsia="fr-FR"/>
        </w:rPr>
        <w:t>sant de 261 de l’entrée en vigueur de la loi à fin décembre 2018</w:t>
      </w:r>
      <w:r>
        <w:t> </w:t>
      </w:r>
      <w:r>
        <w:rPr>
          <w:rStyle w:val="Appelnotedebasdep"/>
        </w:rPr>
        <w:footnoteReference w:id="67"/>
      </w:r>
      <w:r w:rsidRPr="000E03BC">
        <w:rPr>
          <w:color w:val="000000"/>
          <w:szCs w:val="24"/>
          <w:lang w:eastAsia="fr-FR"/>
        </w:rPr>
        <w:t xml:space="preserve"> à 930 pour 2019, 1409 pour 2020, 2300 en 2021</w:t>
      </w:r>
      <w:r>
        <w:t> </w:t>
      </w:r>
      <w:r>
        <w:rPr>
          <w:rStyle w:val="Appelnotedebasdep"/>
        </w:rPr>
        <w:footnoteReference w:id="68"/>
      </w:r>
      <w:r w:rsidRPr="000E03BC">
        <w:rPr>
          <w:color w:val="000000"/>
          <w:szCs w:val="24"/>
          <w:lang w:eastAsia="fr-FR"/>
        </w:rPr>
        <w:t xml:space="preserve"> et 1300 pour les six premiers mois de 2022. Cet accroissement ne traduit pas nécessair</w:t>
      </w:r>
      <w:r w:rsidRPr="000E03BC">
        <w:rPr>
          <w:color w:val="000000"/>
          <w:szCs w:val="24"/>
          <w:lang w:eastAsia="fr-FR"/>
        </w:rPr>
        <w:t>e</w:t>
      </w:r>
      <w:r w:rsidRPr="000E03BC">
        <w:rPr>
          <w:color w:val="000000"/>
          <w:szCs w:val="24"/>
          <w:lang w:eastAsia="fr-FR"/>
        </w:rPr>
        <w:t>ment une hausse des infractions. Une part de la croissance des chi</w:t>
      </w:r>
      <w:r w:rsidRPr="000E03BC">
        <w:rPr>
          <w:color w:val="000000"/>
          <w:szCs w:val="24"/>
          <w:lang w:eastAsia="fr-FR"/>
        </w:rPr>
        <w:t>f</w:t>
      </w:r>
      <w:r w:rsidRPr="000E03BC">
        <w:rPr>
          <w:color w:val="000000"/>
          <w:szCs w:val="24"/>
          <w:lang w:eastAsia="fr-FR"/>
        </w:rPr>
        <w:t>fres est vraisemblablement due à une meilleure prise en compte des faits par les policiers et les gendarmes. La fin du confinement et les te</w:t>
      </w:r>
      <w:r w:rsidRPr="000E03BC">
        <w:rPr>
          <w:color w:val="000000"/>
          <w:szCs w:val="24"/>
          <w:lang w:eastAsia="fr-FR"/>
        </w:rPr>
        <w:t>n</w:t>
      </w:r>
      <w:r w:rsidRPr="000E03BC">
        <w:rPr>
          <w:color w:val="000000"/>
          <w:szCs w:val="24"/>
          <w:lang w:eastAsia="fr-FR"/>
        </w:rPr>
        <w:t>sions sociales qui s’en sont suivies peuvent avoir joué un rôle en la matière. Il est donc préférable d’attendre pour interpréter cette au</w:t>
      </w:r>
      <w:r w:rsidRPr="000E03BC">
        <w:rPr>
          <w:color w:val="000000"/>
          <w:szCs w:val="24"/>
          <w:lang w:eastAsia="fr-FR"/>
        </w:rPr>
        <w:t>g</w:t>
      </w:r>
      <w:r w:rsidRPr="000E03BC">
        <w:rPr>
          <w:color w:val="000000"/>
          <w:szCs w:val="24"/>
          <w:lang w:eastAsia="fr-FR"/>
        </w:rPr>
        <w:t>mentation.</w:t>
      </w:r>
    </w:p>
    <w:p w14:paraId="06209887" w14:textId="77777777" w:rsidR="00F3214B" w:rsidRPr="000E03BC" w:rsidRDefault="00F3214B" w:rsidP="00F3214B">
      <w:pPr>
        <w:spacing w:before="120" w:after="120"/>
        <w:jc w:val="both"/>
        <w:rPr>
          <w:color w:val="000000"/>
          <w:szCs w:val="24"/>
          <w:lang w:eastAsia="fr-FR"/>
        </w:rPr>
      </w:pPr>
      <w:r w:rsidRPr="000E03BC">
        <w:rPr>
          <w:color w:val="000000"/>
          <w:szCs w:val="24"/>
          <w:lang w:eastAsia="fr-FR"/>
        </w:rPr>
        <w:t>Il résulte par ailleurs d’une enquête sur le cadre de vie et la sécurité (enquête CVS) menée sur la période 2011-2018 que l’</w:t>
      </w:r>
      <w:r>
        <w:rPr>
          <w:color w:val="000000"/>
          <w:szCs w:val="24"/>
          <w:lang w:eastAsia="fr-FR"/>
        </w:rPr>
        <w:t>on peut estimer que seulement 2</w:t>
      </w:r>
      <w:r w:rsidRPr="000E03BC">
        <w:rPr>
          <w:color w:val="000000"/>
          <w:szCs w:val="24"/>
          <w:lang w:eastAsia="fr-FR"/>
        </w:rPr>
        <w:t xml:space="preserve">% des victimes d’outrage sexiste porteraient plainte et que, pour </w:t>
      </w:r>
      <w:r>
        <w:rPr>
          <w:color w:val="000000"/>
          <w:szCs w:val="24"/>
          <w:lang w:eastAsia="fr-FR"/>
        </w:rPr>
        <w:t>la période 2019-2020, seules 25</w:t>
      </w:r>
      <w:r w:rsidRPr="000E03BC">
        <w:rPr>
          <w:color w:val="000000"/>
          <w:szCs w:val="24"/>
          <w:lang w:eastAsia="fr-FR"/>
        </w:rPr>
        <w:t>% des enquêtes auraient d</w:t>
      </w:r>
      <w:r w:rsidRPr="000E03BC">
        <w:rPr>
          <w:color w:val="000000"/>
          <w:szCs w:val="24"/>
          <w:lang w:eastAsia="fr-FR"/>
        </w:rPr>
        <w:t>é</w:t>
      </w:r>
      <w:r w:rsidRPr="000E03BC">
        <w:rPr>
          <w:color w:val="000000"/>
          <w:szCs w:val="24"/>
          <w:lang w:eastAsia="fr-FR"/>
        </w:rPr>
        <w:t xml:space="preserve">bouché sur la </w:t>
      </w:r>
      <w:r w:rsidRPr="000E03BC">
        <w:rPr>
          <w:szCs w:val="24"/>
          <w:lang w:eastAsia="fr-FR"/>
        </w:rPr>
        <w:t>mise en cause d’un ou plusieurs auteurs d’outrage sexi</w:t>
      </w:r>
      <w:r w:rsidRPr="000E03BC">
        <w:rPr>
          <w:szCs w:val="24"/>
          <w:lang w:eastAsia="fr-FR"/>
        </w:rPr>
        <w:t>s</w:t>
      </w:r>
      <w:r w:rsidRPr="000E03BC">
        <w:rPr>
          <w:szCs w:val="24"/>
          <w:lang w:eastAsia="fr-FR"/>
        </w:rPr>
        <w:t xml:space="preserve">te. </w:t>
      </w:r>
      <w:r w:rsidRPr="000E03BC">
        <w:rPr>
          <w:color w:val="000000"/>
          <w:szCs w:val="24"/>
          <w:lang w:eastAsia="fr-FR"/>
        </w:rPr>
        <w:t>La combinaison de l’ensemble de ces données pourrait lai</w:t>
      </w:r>
      <w:r w:rsidRPr="000E03BC">
        <w:rPr>
          <w:color w:val="000000"/>
          <w:szCs w:val="24"/>
          <w:lang w:eastAsia="fr-FR"/>
        </w:rPr>
        <w:t>s</w:t>
      </w:r>
      <w:r w:rsidRPr="000E03BC">
        <w:rPr>
          <w:color w:val="000000"/>
          <w:szCs w:val="24"/>
          <w:lang w:eastAsia="fr-FR"/>
        </w:rPr>
        <w:t>ser</w:t>
      </w:r>
      <w:r>
        <w:t> </w:t>
      </w:r>
      <w:r>
        <w:rPr>
          <w:rStyle w:val="Appelnotedebasdep"/>
        </w:rPr>
        <w:footnoteReference w:id="69"/>
      </w:r>
      <w:r>
        <w:rPr>
          <w:color w:val="000000"/>
          <w:szCs w:val="24"/>
          <w:lang w:eastAsia="fr-FR"/>
        </w:rPr>
        <w:t xml:space="preserve"> à penser que seuls 0,5</w:t>
      </w:r>
      <w:r w:rsidRPr="000E03BC">
        <w:rPr>
          <w:color w:val="000000"/>
          <w:szCs w:val="24"/>
          <w:lang w:eastAsia="fr-FR"/>
        </w:rPr>
        <w:t>% des faits commis feraient l’objet d’un trait</w:t>
      </w:r>
      <w:r w:rsidRPr="000E03BC">
        <w:rPr>
          <w:color w:val="000000"/>
          <w:szCs w:val="24"/>
          <w:lang w:eastAsia="fr-FR"/>
        </w:rPr>
        <w:t>e</w:t>
      </w:r>
      <w:r w:rsidRPr="000E03BC">
        <w:rPr>
          <w:color w:val="000000"/>
          <w:szCs w:val="24"/>
          <w:lang w:eastAsia="fr-FR"/>
        </w:rPr>
        <w:t xml:space="preserve">ment policier ou judiciaire, les harceleurs de rue bénéficiant </w:t>
      </w:r>
      <w:r>
        <w:rPr>
          <w:color w:val="000000"/>
          <w:szCs w:val="24"/>
          <w:lang w:eastAsia="fr-FR"/>
        </w:rPr>
        <w:t>d’une impunité totale dans 99,5</w:t>
      </w:r>
      <w:r w:rsidRPr="000E03BC">
        <w:rPr>
          <w:color w:val="000000"/>
          <w:szCs w:val="24"/>
          <w:lang w:eastAsia="fr-FR"/>
        </w:rPr>
        <w:t>% des cas.</w:t>
      </w:r>
    </w:p>
    <w:p w14:paraId="2B883342" w14:textId="77777777" w:rsidR="00F3214B" w:rsidRPr="000E03BC" w:rsidRDefault="00F3214B" w:rsidP="00F3214B">
      <w:pPr>
        <w:spacing w:before="120" w:after="120"/>
        <w:jc w:val="both"/>
        <w:rPr>
          <w:color w:val="000000"/>
          <w:szCs w:val="24"/>
          <w:lang w:eastAsia="fr-FR"/>
        </w:rPr>
      </w:pPr>
      <w:r w:rsidRPr="000E03BC">
        <w:rPr>
          <w:color w:val="000000"/>
          <w:szCs w:val="24"/>
          <w:lang w:eastAsia="fr-FR"/>
        </w:rPr>
        <w:t xml:space="preserve">C’est ce qui explique que Julie Peigné, membre de l’association </w:t>
      </w:r>
      <w:r w:rsidRPr="000E03BC">
        <w:rPr>
          <w:i/>
          <w:color w:val="000000"/>
          <w:szCs w:val="24"/>
          <w:lang w:eastAsia="fr-FR"/>
        </w:rPr>
        <w:t>« Stop au harcèlement de rue »,</w:t>
      </w:r>
      <w:r w:rsidRPr="000E03BC">
        <w:rPr>
          <w:color w:val="000000"/>
          <w:szCs w:val="24"/>
          <w:lang w:eastAsia="fr-FR"/>
        </w:rPr>
        <w:t xml:space="preserve"> ait pu déclarer, en 2019, que </w:t>
      </w:r>
      <w:r w:rsidRPr="000E03BC">
        <w:rPr>
          <w:i/>
          <w:color w:val="000000"/>
          <w:szCs w:val="24"/>
          <w:lang w:eastAsia="fr-FR"/>
        </w:rPr>
        <w:t>« l’impunité n’est pas totale et c’est tant mieux »,</w:t>
      </w:r>
      <w:r w:rsidRPr="000E03BC">
        <w:rPr>
          <w:color w:val="000000"/>
          <w:szCs w:val="24"/>
          <w:lang w:eastAsia="fr-FR"/>
        </w:rPr>
        <w:t xml:space="preserve"> tout en ajoutant que le chiffre des verbalisations était </w:t>
      </w:r>
      <w:r w:rsidRPr="000E03BC">
        <w:rPr>
          <w:i/>
          <w:color w:val="000000"/>
          <w:szCs w:val="24"/>
          <w:lang w:eastAsia="fr-FR"/>
        </w:rPr>
        <w:t>« très éloigné de la réalité, car les femmes qui se font harceler, c’est tous les jours »</w:t>
      </w:r>
      <w:r>
        <w:rPr>
          <w:color w:val="000000"/>
          <w:szCs w:val="24"/>
          <w:lang w:eastAsia="fr-FR"/>
        </w:rPr>
        <w:t> </w:t>
      </w:r>
      <w:r>
        <w:rPr>
          <w:rStyle w:val="Appelnotedebasdep"/>
          <w:szCs w:val="24"/>
          <w:lang w:eastAsia="fr-FR"/>
        </w:rPr>
        <w:footnoteReference w:id="70"/>
      </w:r>
      <w:r w:rsidRPr="000E03BC">
        <w:rPr>
          <w:i/>
          <w:color w:val="000000"/>
          <w:szCs w:val="24"/>
          <w:lang w:eastAsia="fr-FR"/>
        </w:rPr>
        <w:t xml:space="preserve">.  </w:t>
      </w:r>
      <w:r w:rsidRPr="000E03BC">
        <w:rPr>
          <w:color w:val="000000"/>
          <w:szCs w:val="24"/>
          <w:lang w:eastAsia="fr-FR"/>
        </w:rPr>
        <w:t>Ce constat mo</w:t>
      </w:r>
      <w:r w:rsidRPr="000E03BC">
        <w:rPr>
          <w:color w:val="000000"/>
          <w:szCs w:val="24"/>
          <w:lang w:eastAsia="fr-FR"/>
        </w:rPr>
        <w:t>n</w:t>
      </w:r>
      <w:r w:rsidRPr="000E03BC">
        <w:rPr>
          <w:color w:val="000000"/>
          <w:szCs w:val="24"/>
          <w:lang w:eastAsia="fr-FR"/>
        </w:rPr>
        <w:t>tre clairement que la répression n’agit qu’à la marge sur le ph</w:t>
      </w:r>
      <w:r w:rsidRPr="000E03BC">
        <w:rPr>
          <w:color w:val="000000"/>
          <w:szCs w:val="24"/>
          <w:lang w:eastAsia="fr-FR"/>
        </w:rPr>
        <w:t>é</w:t>
      </w:r>
      <w:r w:rsidRPr="000E03BC">
        <w:rPr>
          <w:color w:val="000000"/>
          <w:szCs w:val="24"/>
          <w:lang w:eastAsia="fr-FR"/>
        </w:rPr>
        <w:t>nomène du harcèlement de rue. Il aurait dû, en toute logique, conduire l’Etat et les législateurs à changer radicalement leur fusil d’épaule en mettant désormais l’accent sur la prévention.</w:t>
      </w:r>
    </w:p>
    <w:p w14:paraId="23233801" w14:textId="77777777" w:rsidR="00F3214B" w:rsidRPr="000E03BC" w:rsidRDefault="00F3214B" w:rsidP="00F3214B">
      <w:pPr>
        <w:spacing w:before="120" w:after="120"/>
        <w:jc w:val="both"/>
        <w:rPr>
          <w:color w:val="000000"/>
          <w:szCs w:val="24"/>
          <w:lang w:eastAsia="fr-FR"/>
        </w:rPr>
      </w:pPr>
      <w:r w:rsidRPr="000E03BC">
        <w:rPr>
          <w:color w:val="000000"/>
          <w:szCs w:val="24"/>
          <w:lang w:eastAsia="fr-FR"/>
        </w:rPr>
        <w:lastRenderedPageBreak/>
        <w:t>Ce n’est malheureusement pas ce qu’a annoncé le Président de la Républ</w:t>
      </w:r>
      <w:r w:rsidRPr="000E03BC">
        <w:rPr>
          <w:color w:val="000000"/>
          <w:szCs w:val="24"/>
          <w:lang w:eastAsia="fr-FR"/>
        </w:rPr>
        <w:t>i</w:t>
      </w:r>
      <w:r w:rsidRPr="000E03BC">
        <w:rPr>
          <w:color w:val="000000"/>
          <w:szCs w:val="24"/>
          <w:lang w:eastAsia="fr-FR"/>
        </w:rPr>
        <w:t>que, Emmanuel Macron, en janvier 2022, lorsqu’il a déclaré vouloir durcir les sanctions contre le harcèlement de rue en faisant de celui-ci un délit et non plus une contravention. Or, à quoi bon renfo</w:t>
      </w:r>
      <w:r w:rsidRPr="000E03BC">
        <w:rPr>
          <w:color w:val="000000"/>
          <w:szCs w:val="24"/>
          <w:lang w:eastAsia="fr-FR"/>
        </w:rPr>
        <w:t>r</w:t>
      </w:r>
      <w:r>
        <w:rPr>
          <w:color w:val="000000"/>
          <w:szCs w:val="24"/>
          <w:lang w:eastAsia="fr-FR"/>
        </w:rPr>
        <w:t>cer les sanctions si 99,5</w:t>
      </w:r>
      <w:r w:rsidRPr="000E03BC">
        <w:rPr>
          <w:color w:val="000000"/>
          <w:szCs w:val="24"/>
          <w:lang w:eastAsia="fr-FR"/>
        </w:rPr>
        <w:t>% des auteurs des faits bénéficient d’une i</w:t>
      </w:r>
      <w:r w:rsidRPr="000E03BC">
        <w:rPr>
          <w:color w:val="000000"/>
          <w:szCs w:val="24"/>
          <w:lang w:eastAsia="fr-FR"/>
        </w:rPr>
        <w:t>m</w:t>
      </w:r>
      <w:r w:rsidRPr="000E03BC">
        <w:rPr>
          <w:color w:val="000000"/>
          <w:szCs w:val="24"/>
          <w:lang w:eastAsia="fr-FR"/>
        </w:rPr>
        <w:t>punité totale et que seule une partie</w:t>
      </w:r>
      <w:r>
        <w:t> </w:t>
      </w:r>
      <w:r>
        <w:rPr>
          <w:rStyle w:val="Appelnotedebasdep"/>
        </w:rPr>
        <w:footnoteReference w:id="71"/>
      </w:r>
      <w:r>
        <w:rPr>
          <w:color w:val="000000"/>
          <w:szCs w:val="24"/>
          <w:lang w:eastAsia="fr-FR"/>
        </w:rPr>
        <w:t xml:space="preserve"> des 0,5</w:t>
      </w:r>
      <w:r w:rsidRPr="000E03BC">
        <w:rPr>
          <w:color w:val="000000"/>
          <w:szCs w:val="24"/>
          <w:lang w:eastAsia="fr-FR"/>
        </w:rPr>
        <w:t>% mis en cause sont condamnés ? Ce n’est pas au Président de la République d’étudier dans le détail l’efficacité des mesures prises. Mais il dispose de serv</w:t>
      </w:r>
      <w:r w:rsidRPr="000E03BC">
        <w:rPr>
          <w:color w:val="000000"/>
          <w:szCs w:val="24"/>
          <w:lang w:eastAsia="fr-FR"/>
        </w:rPr>
        <w:t>i</w:t>
      </w:r>
      <w:r w:rsidRPr="000E03BC">
        <w:rPr>
          <w:color w:val="000000"/>
          <w:szCs w:val="24"/>
          <w:lang w:eastAsia="fr-FR"/>
        </w:rPr>
        <w:t>ces qui auraient dû le faire et de conseilleurs qui auraient dû lui sugg</w:t>
      </w:r>
      <w:r w:rsidRPr="000E03BC">
        <w:rPr>
          <w:color w:val="000000"/>
          <w:szCs w:val="24"/>
          <w:lang w:eastAsia="fr-FR"/>
        </w:rPr>
        <w:t>é</w:t>
      </w:r>
      <w:r w:rsidRPr="000E03BC">
        <w:rPr>
          <w:color w:val="000000"/>
          <w:szCs w:val="24"/>
          <w:lang w:eastAsia="fr-FR"/>
        </w:rPr>
        <w:t>rer de me</w:t>
      </w:r>
      <w:r w:rsidRPr="000E03BC">
        <w:rPr>
          <w:color w:val="000000"/>
          <w:szCs w:val="24"/>
          <w:lang w:eastAsia="fr-FR"/>
        </w:rPr>
        <w:t>t</w:t>
      </w:r>
      <w:r w:rsidRPr="000E03BC">
        <w:rPr>
          <w:color w:val="000000"/>
          <w:szCs w:val="24"/>
          <w:lang w:eastAsia="fr-FR"/>
        </w:rPr>
        <w:t>tre l’accent sur la prévention.</w:t>
      </w:r>
    </w:p>
    <w:p w14:paraId="19284DB7" w14:textId="77777777" w:rsidR="00F3214B" w:rsidRDefault="00F3214B">
      <w:pPr>
        <w:jc w:val="both"/>
      </w:pPr>
    </w:p>
    <w:p w14:paraId="3A3A26AB" w14:textId="77777777" w:rsidR="00F3214B" w:rsidRDefault="00F3214B">
      <w:pPr>
        <w:jc w:val="both"/>
      </w:pPr>
    </w:p>
    <w:p w14:paraId="63EA4902" w14:textId="77777777" w:rsidR="00F3214B" w:rsidRDefault="00F3214B">
      <w:pPr>
        <w:pStyle w:val="suite"/>
      </w:pPr>
      <w:r>
        <w:t>Fin du texte</w:t>
      </w:r>
    </w:p>
    <w:p w14:paraId="2DFFB83B" w14:textId="77777777" w:rsidR="00F3214B" w:rsidRDefault="00F3214B">
      <w:pPr>
        <w:jc w:val="both"/>
      </w:pPr>
    </w:p>
    <w:p w14:paraId="464B757E" w14:textId="77777777" w:rsidR="00F3214B" w:rsidRDefault="00F3214B">
      <w:pPr>
        <w:jc w:val="both"/>
      </w:pPr>
    </w:p>
    <w:sectPr w:rsidR="00F3214B" w:rsidSect="00F3214B">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C5FEE" w14:textId="77777777" w:rsidR="00996B92" w:rsidRDefault="00996B92">
      <w:r>
        <w:separator/>
      </w:r>
    </w:p>
  </w:endnote>
  <w:endnote w:type="continuationSeparator" w:id="0">
    <w:p w14:paraId="626B04D6" w14:textId="77777777" w:rsidR="00996B92" w:rsidRDefault="0099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00004FF" w:usb2="00000000" w:usb3="00000000" w:csb0="0000019F" w:csb1="00000000"/>
  </w:font>
  <w:font w:name="Arial-BoldMT">
    <w:altName w:val="Arial"/>
    <w:panose1 w:val="020B0604020202020204"/>
    <w:charset w:val="4D"/>
    <w:family w:val="swiss"/>
    <w:notTrueType/>
    <w:pitch w:val="default"/>
    <w:sig w:usb0="03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altName w:val="Calibri"/>
    <w:panose1 w:val="020B05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 Times Bold">
    <w:altName w:val="Calibri"/>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C2A6D" w14:textId="77777777" w:rsidR="00996B92" w:rsidRDefault="00996B92">
      <w:pPr>
        <w:ind w:firstLine="0"/>
      </w:pPr>
      <w:r>
        <w:separator/>
      </w:r>
    </w:p>
  </w:footnote>
  <w:footnote w:type="continuationSeparator" w:id="0">
    <w:p w14:paraId="08D91737" w14:textId="77777777" w:rsidR="00996B92" w:rsidRDefault="00996B92">
      <w:pPr>
        <w:ind w:firstLine="0"/>
      </w:pPr>
      <w:r>
        <w:separator/>
      </w:r>
    </w:p>
  </w:footnote>
  <w:footnote w:id="1">
    <w:p w14:paraId="4FF69760" w14:textId="77777777" w:rsidR="00F3214B" w:rsidRDefault="00F3214B" w:rsidP="00F3214B">
      <w:pPr>
        <w:pStyle w:val="Notedebasdepage"/>
      </w:pPr>
      <w:r>
        <w:rPr>
          <w:rStyle w:val="Appelnotedebasdep"/>
        </w:rPr>
        <w:footnoteRef/>
      </w:r>
      <w:r>
        <w:tab/>
      </w:r>
      <w:r w:rsidRPr="002E60F3">
        <w:t>La bibliothèque a pour buts d’accroître la diffusion de la connaissance en Sciences h</w:t>
      </w:r>
      <w:r w:rsidRPr="002E60F3">
        <w:t>u</w:t>
      </w:r>
      <w:r w:rsidRPr="002E60F3">
        <w:t>maines et sociales au sein de la communauté francophone ; de donner aux travaux des che</w:t>
      </w:r>
      <w:r w:rsidRPr="002E60F3">
        <w:t>r</w:t>
      </w:r>
      <w:r w:rsidRPr="002E60F3">
        <w:t>cheurs francophones une visibilité plus étendue et un spectre de lecteurs élargi ; de promouvoir les échanges interdisciplina</w:t>
      </w:r>
      <w:r w:rsidRPr="002E60F3">
        <w:t>i</w:t>
      </w:r>
      <w:r w:rsidRPr="002E60F3">
        <w:t>res entre chercheurs en sciences humaines et sociales d’expression de langue française et, plus largement, de faciliter la diffusion de la pensée de langue fra</w:t>
      </w:r>
      <w:r w:rsidRPr="002E60F3">
        <w:t>n</w:t>
      </w:r>
      <w:r w:rsidRPr="002E60F3">
        <w:t>çaise.</w:t>
      </w:r>
    </w:p>
  </w:footnote>
  <w:footnote w:id="2">
    <w:p w14:paraId="421A2547" w14:textId="77777777" w:rsidR="00F3214B" w:rsidRDefault="00F3214B" w:rsidP="00F3214B">
      <w:pPr>
        <w:pStyle w:val="Notedebasdepage"/>
      </w:pPr>
      <w:r>
        <w:rPr>
          <w:rStyle w:val="Appelnotedebasdep"/>
        </w:rPr>
        <w:footnoteRef/>
      </w:r>
      <w:r>
        <w:tab/>
      </w:r>
      <w:r w:rsidRPr="002E60F3">
        <w:t>Soit un mémoire de master 1 sous la direction de Monsieur Pierre Ratinaud, Professeur des universités, et un mémoire de master 2 sous la direction de Mad</w:t>
      </w:r>
      <w:r w:rsidRPr="002E60F3">
        <w:t>a</w:t>
      </w:r>
      <w:r w:rsidRPr="002E60F3">
        <w:t>me Florence Savournin, maître de conférences, mémoires soutenus à l’Université Toulouse Jean Jaurès (France).</w:t>
      </w:r>
    </w:p>
  </w:footnote>
  <w:footnote w:id="3">
    <w:p w14:paraId="0014E1C0" w14:textId="77777777" w:rsidR="00F3214B" w:rsidRDefault="00F3214B" w:rsidP="00F3214B">
      <w:pPr>
        <w:pStyle w:val="Notedebasdepage"/>
      </w:pPr>
      <w:r>
        <w:rPr>
          <w:rStyle w:val="Appelnotedebasdep"/>
        </w:rPr>
        <w:footnoteRef/>
      </w:r>
      <w:r>
        <w:tab/>
      </w:r>
      <w:r w:rsidRPr="002E60F3">
        <w:t>Louise CORBU et Pierre CABROL</w:t>
      </w:r>
      <w:r w:rsidRPr="002E60F3">
        <w:rPr>
          <w:b/>
        </w:rPr>
        <w:t xml:space="preserve"> </w:t>
      </w:r>
      <w:r w:rsidRPr="002E60F3">
        <w:t>(2021) « Scolarisation des enfants en s</w:t>
      </w:r>
      <w:r w:rsidRPr="002E60F3">
        <w:t>i</w:t>
      </w:r>
      <w:r w:rsidRPr="002E60F3">
        <w:t>tuation de handicap en France : de l’obligation de scolarisation à l’inclusion, un demi-siècle d’évolution des idées et du droit » ; LES CLA</w:t>
      </w:r>
      <w:r w:rsidRPr="002E60F3">
        <w:t>S</w:t>
      </w:r>
      <w:r w:rsidRPr="002E60F3">
        <w:t>SIQUES DES SCIENCES SOCIALES, CH</w:t>
      </w:r>
      <w:r w:rsidRPr="002E60F3">
        <w:t>I</w:t>
      </w:r>
      <w:r>
        <w:t xml:space="preserve">COUTIMI, QUÉBEC : </w:t>
      </w:r>
      <w:hyperlink r:id="rId1" w:history="1">
        <w:r w:rsidRPr="00F24579">
          <w:rPr>
            <w:rStyle w:val="Hyperlien"/>
          </w:rPr>
          <w:t>http://classiques.uqac.ca/contemporains/Corbu_Louise/Scolarisation_des_enfants/Scolarisation_des_enfants.html</w:t>
        </w:r>
      </w:hyperlink>
      <w:r>
        <w:t xml:space="preserve"> </w:t>
      </w:r>
    </w:p>
  </w:footnote>
  <w:footnote w:id="4">
    <w:p w14:paraId="3C2524C5" w14:textId="77777777" w:rsidR="00F3214B" w:rsidRDefault="00F3214B" w:rsidP="00F3214B">
      <w:pPr>
        <w:pStyle w:val="Notedebasdepage"/>
      </w:pPr>
      <w:r>
        <w:rPr>
          <w:rStyle w:val="Appelnotedebasdep"/>
        </w:rPr>
        <w:footnoteRef/>
      </w:r>
      <w:r>
        <w:tab/>
      </w:r>
      <w:r w:rsidRPr="002E60F3">
        <w:t>Dans le cadre d’un DUT Animation Sociale et Socioculturelle.</w:t>
      </w:r>
    </w:p>
  </w:footnote>
  <w:footnote w:id="5">
    <w:p w14:paraId="78005EE0" w14:textId="77777777" w:rsidR="00F3214B" w:rsidRDefault="00F3214B" w:rsidP="00F3214B">
      <w:pPr>
        <w:pStyle w:val="Notedebasdepage"/>
      </w:pPr>
      <w:r>
        <w:rPr>
          <w:rStyle w:val="Appelnotedebasdep"/>
        </w:rPr>
        <w:footnoteRef/>
      </w:r>
      <w:r>
        <w:tab/>
      </w:r>
      <w:r w:rsidRPr="002E60F3">
        <w:t>Il débute en évoquant « la persistance des violences sexistes et sexuelles dont les femmes et les enfants continuent aujourd’hui d’être trop massivement vi</w:t>
      </w:r>
      <w:r w:rsidRPr="002E60F3">
        <w:t>c</w:t>
      </w:r>
      <w:r w:rsidRPr="002E60F3">
        <w:t>times », l’emploi male</w:t>
      </w:r>
      <w:r w:rsidRPr="002E60F3">
        <w:t>n</w:t>
      </w:r>
      <w:r w:rsidRPr="002E60F3">
        <w:t>contreux du qualificatif « trop » laissant à penser qu’il pourrait y avoir des violences massives acceptables, ce qui n’est certainement pas l’intention du législateur.</w:t>
      </w:r>
    </w:p>
  </w:footnote>
  <w:footnote w:id="6">
    <w:p w14:paraId="41449F87" w14:textId="77777777" w:rsidR="00F3214B" w:rsidRDefault="00F3214B" w:rsidP="00F3214B">
      <w:pPr>
        <w:pStyle w:val="Notedebasdepage"/>
      </w:pPr>
      <w:r>
        <w:rPr>
          <w:rStyle w:val="Appelnotedebasdep"/>
        </w:rPr>
        <w:footnoteRef/>
      </w:r>
      <w:r>
        <w:tab/>
      </w:r>
      <w:r w:rsidRPr="002E60F3">
        <w:t>Le viol est fréquemment présenté comme étant un acte de violence, avant d’être un acte sexuel.</w:t>
      </w:r>
    </w:p>
  </w:footnote>
  <w:footnote w:id="7">
    <w:p w14:paraId="00A8C41B" w14:textId="77777777" w:rsidR="00F3214B" w:rsidRDefault="00F3214B" w:rsidP="00F3214B">
      <w:pPr>
        <w:pStyle w:val="Notedebasdepage"/>
      </w:pPr>
      <w:r>
        <w:rPr>
          <w:rStyle w:val="Appelnotedebasdep"/>
        </w:rPr>
        <w:footnoteRef/>
      </w:r>
      <w:r>
        <w:tab/>
      </w:r>
      <w:r w:rsidRPr="002E60F3">
        <w:t>Alinéa 1 de l’article 222-23 du Code pénal, dans sa version intégrant les mod</w:t>
      </w:r>
      <w:r w:rsidRPr="002E60F3">
        <w:t>i</w:t>
      </w:r>
      <w:r w:rsidRPr="002E60F3">
        <w:t>f</w:t>
      </w:r>
      <w:r w:rsidRPr="002E60F3">
        <w:t>i</w:t>
      </w:r>
      <w:r w:rsidRPr="002E60F3">
        <w:t>cations de l’article 9 de la loi n°2021-478 du 21 avril 2021.</w:t>
      </w:r>
    </w:p>
  </w:footnote>
  <w:footnote w:id="8">
    <w:p w14:paraId="6577ECEA" w14:textId="77777777" w:rsidR="00F3214B" w:rsidRDefault="00F3214B" w:rsidP="00F3214B">
      <w:pPr>
        <w:pStyle w:val="Notedebasdepage"/>
      </w:pPr>
      <w:r>
        <w:rPr>
          <w:rStyle w:val="Appelnotedebasdep"/>
        </w:rPr>
        <w:footnoteRef/>
      </w:r>
      <w:r>
        <w:tab/>
      </w:r>
      <w:r w:rsidRPr="002E60F3">
        <w:t>Alinéa 2 de l’article 222-23 du Code pénal.</w:t>
      </w:r>
    </w:p>
  </w:footnote>
  <w:footnote w:id="9">
    <w:p w14:paraId="44C8B42F" w14:textId="77777777" w:rsidR="00F3214B" w:rsidRDefault="00F3214B" w:rsidP="00F3214B">
      <w:pPr>
        <w:pStyle w:val="Notedebasdepage"/>
      </w:pPr>
      <w:r>
        <w:rPr>
          <w:rStyle w:val="Appelnotedebasdep"/>
        </w:rPr>
        <w:footnoteRef/>
      </w:r>
      <w:r>
        <w:tab/>
      </w:r>
      <w:r w:rsidRPr="008D70F1">
        <w:t>«</w:t>
      </w:r>
      <w:r>
        <w:t> </w:t>
      </w:r>
      <w:r w:rsidRPr="008D70F1">
        <w:t>Hors le cas prévu à l'article 222-23, constitue également un viol tout acte de pénétration sexuelle, de quelque nature qu'il soit, ou tout acte bucco-génital commis par un majeur sur la personne d'un mineur de quinze ans ou commis sur l'auteur par le mineur, lorsque la différence d'âge entre le majeur et le m</w:t>
      </w:r>
      <w:r w:rsidRPr="008D70F1">
        <w:t>i</w:t>
      </w:r>
      <w:r w:rsidRPr="008D70F1">
        <w:t>neur est d'au moins cinq ans » (alinéa 1). « La condition de différe</w:t>
      </w:r>
      <w:r w:rsidRPr="008D70F1">
        <w:t>n</w:t>
      </w:r>
      <w:r w:rsidRPr="008D70F1">
        <w:t>ce d'âge prévue au premier alinéa du présent article n'est pas applicable si les faits sont commis en échange d'une rémunération, d'une promesse de rémun</w:t>
      </w:r>
      <w:r w:rsidRPr="008D70F1">
        <w:t>é</w:t>
      </w:r>
      <w:r w:rsidRPr="008D70F1">
        <w:t>ration, de la fourniture d'un avantage en nature ou de la promesse d'un tel avantage » (alinéa 2).</w:t>
      </w:r>
    </w:p>
  </w:footnote>
  <w:footnote w:id="10">
    <w:p w14:paraId="62B558F2" w14:textId="77777777" w:rsidR="00F3214B" w:rsidRDefault="00F3214B" w:rsidP="00F3214B">
      <w:pPr>
        <w:pStyle w:val="Notedebasdepage"/>
      </w:pPr>
      <w:r>
        <w:rPr>
          <w:rStyle w:val="Appelnotedebasdep"/>
        </w:rPr>
        <w:footnoteRef/>
      </w:r>
      <w:r>
        <w:tab/>
      </w:r>
      <w:r w:rsidRPr="008D70F1">
        <w:t>«</w:t>
      </w:r>
      <w:r>
        <w:t> </w:t>
      </w:r>
      <w:r w:rsidRPr="008D70F1">
        <w:t>Hors le cas prévu à l'article 222-23, constitue un viol incestueux tout acte de pénétration sexuelle, de quelque nature qu'il soit, ou tout acte bucco-génital commis par un majeur sur la personne d'un mineur ou commis sur l'auteur par le mineur, lorsque le majeur est un ascendant ou toute autre personne me</w:t>
      </w:r>
      <w:r w:rsidRPr="008D70F1">
        <w:t>n</w:t>
      </w:r>
      <w:r w:rsidRPr="008D70F1">
        <w:t>tionnée à l'article 222-22-3 ayant sur le mineur une autorité de droit ou de fait ».</w:t>
      </w:r>
    </w:p>
  </w:footnote>
  <w:footnote w:id="11">
    <w:p w14:paraId="62222F01" w14:textId="77777777" w:rsidR="00F3214B" w:rsidRDefault="00F3214B" w:rsidP="00F3214B">
      <w:pPr>
        <w:pStyle w:val="Notedebasdepage"/>
      </w:pPr>
      <w:r>
        <w:rPr>
          <w:rStyle w:val="Appelnotedebasdep"/>
        </w:rPr>
        <w:footnoteRef/>
      </w:r>
      <w:r>
        <w:tab/>
      </w:r>
      <w:r w:rsidRPr="008D70F1">
        <w:t>Article 222-23-3 du Code pénal</w:t>
      </w:r>
      <w:r>
        <w:t> </w:t>
      </w:r>
      <w:r w:rsidRPr="008D70F1">
        <w:t>: «</w:t>
      </w:r>
      <w:r>
        <w:t> </w:t>
      </w:r>
      <w:r w:rsidRPr="008D70F1">
        <w:t>Les viols définis aux articles 222-23-1 et 222-23-2 sont punis de vingt ans de réclusion criminelle ».</w:t>
      </w:r>
    </w:p>
  </w:footnote>
  <w:footnote w:id="12">
    <w:p w14:paraId="54721334" w14:textId="77777777" w:rsidR="00F3214B" w:rsidRDefault="00F3214B" w:rsidP="00F3214B">
      <w:pPr>
        <w:pStyle w:val="Notedebasdepage"/>
      </w:pPr>
      <w:r>
        <w:rPr>
          <w:rStyle w:val="Appelnotedebasdep"/>
        </w:rPr>
        <w:footnoteRef/>
      </w:r>
      <w:r>
        <w:t xml:space="preserve"> </w:t>
      </w:r>
      <w:r>
        <w:tab/>
      </w:r>
      <w:r w:rsidRPr="008D70F1">
        <w:t>Dans sa version modifiée par l’article 8 de la loi n°2021-478 du 21 avril 2021, l’article 222-24 du Code pénal énumère quinze circonstances aggr</w:t>
      </w:r>
      <w:r w:rsidRPr="008D70F1">
        <w:t>a</w:t>
      </w:r>
      <w:r w:rsidRPr="008D70F1">
        <w:t>vantes</w:t>
      </w:r>
      <w:r>
        <w:t> </w:t>
      </w:r>
      <w:r w:rsidRPr="008D70F1">
        <w:t>: «</w:t>
      </w:r>
      <w:r>
        <w:t> </w:t>
      </w:r>
      <w:r w:rsidRPr="008D70F1">
        <w:t>1° Lorsqu'il a entraîné une mutilat</w:t>
      </w:r>
      <w:r>
        <w:t>ion ou une infirmité permane</w:t>
      </w:r>
      <w:r>
        <w:t>n</w:t>
      </w:r>
      <w:r>
        <w:t>te </w:t>
      </w:r>
      <w:r w:rsidRPr="008D70F1">
        <w:t>; 2° Lorsqu'il est commis sur un mineur de quinze ans</w:t>
      </w:r>
      <w:r>
        <w:t> </w:t>
      </w:r>
      <w:r w:rsidRPr="008D70F1">
        <w:t>; 3° Lorsqu'il est commis sur une personne dont la particulière vulnérabilité, due à son âge, à une mal</w:t>
      </w:r>
      <w:r w:rsidRPr="008D70F1">
        <w:t>a</w:t>
      </w:r>
      <w:r w:rsidRPr="008D70F1">
        <w:t>die, à une infirmité, à une déficience physique ou psychique ou à un état de grossesse, est apparente ou connue de l'auteur</w:t>
      </w:r>
      <w:r>
        <w:t> </w:t>
      </w:r>
      <w:r w:rsidRPr="008D70F1">
        <w:t>; 3° bis Lorsqu'il est commis sur une personne dont la particulière vulnérabilité ou dépendance résultant de la précarité de sa situation économique ou sociale est apparente ou connue de l'auteur</w:t>
      </w:r>
      <w:r>
        <w:t> </w:t>
      </w:r>
      <w:r w:rsidRPr="008D70F1">
        <w:t>; 4° Lorsqu'il est commis par un ascendant ou par to</w:t>
      </w:r>
      <w:r w:rsidRPr="008D70F1">
        <w:t>u</w:t>
      </w:r>
      <w:r w:rsidRPr="008D70F1">
        <w:t>te autre personne ayant sur la victime une autorité de droit ou de fait</w:t>
      </w:r>
      <w:r>
        <w:t> </w:t>
      </w:r>
      <w:r w:rsidRPr="008D70F1">
        <w:t>; 5° Lorsqu'il est commis par une personne qui abuse de l'autorité que lui conf</w:t>
      </w:r>
      <w:r w:rsidRPr="008D70F1">
        <w:t>è</w:t>
      </w:r>
      <w:r w:rsidRPr="008D70F1">
        <w:t>rent ses fonctions</w:t>
      </w:r>
      <w:r>
        <w:t> </w:t>
      </w:r>
      <w:r w:rsidRPr="008D70F1">
        <w:t>; 6° Lorsqu'il est commis par plusieurs personnes agissant en qualité d'auteur ou de complice</w:t>
      </w:r>
      <w:r>
        <w:t> </w:t>
      </w:r>
      <w:r w:rsidRPr="008D70F1">
        <w:t>; 7° Lorsqu'il est commis avec usage ou menace d'une arme</w:t>
      </w:r>
      <w:r>
        <w:t> </w:t>
      </w:r>
      <w:r w:rsidRPr="008D70F1">
        <w:t>; 8° Lorsque la victime a été mise en contact avec l'auteur des faits grâce à l'util</w:t>
      </w:r>
      <w:r w:rsidRPr="008D70F1">
        <w:t>i</w:t>
      </w:r>
      <w:r w:rsidRPr="008D70F1">
        <w:t>sation, pour la diffusion de messages à destination d'un public non déterminé, d'un réseau de communication électronique</w:t>
      </w:r>
      <w:r>
        <w:t> </w:t>
      </w:r>
      <w:r w:rsidRPr="008D70F1">
        <w:t>; 9° (abrogé)</w:t>
      </w:r>
      <w:r>
        <w:t> </w:t>
      </w:r>
      <w:r w:rsidRPr="008D70F1">
        <w:t>; 10° Lorsqu'il est commis en concours avec un ou plusieurs autres viols commis sur d'autres victimes</w:t>
      </w:r>
      <w:r>
        <w:t> </w:t>
      </w:r>
      <w:r w:rsidRPr="008D70F1">
        <w:t>; 11° Lorsqu'il est commis par le conjoint ou le concubin de la vict</w:t>
      </w:r>
      <w:r w:rsidRPr="008D70F1">
        <w:t>i</w:t>
      </w:r>
      <w:r w:rsidRPr="008D70F1">
        <w:t>me ou le partenaire lié à la victime par un pacte civil de solidarité</w:t>
      </w:r>
      <w:r>
        <w:t> </w:t>
      </w:r>
      <w:r w:rsidRPr="008D70F1">
        <w:t>; 12° Lor</w:t>
      </w:r>
      <w:r w:rsidRPr="008D70F1">
        <w:t>s</w:t>
      </w:r>
      <w:r w:rsidRPr="008D70F1">
        <w:t>qu'il est commis par une personne agissant en état d'ivresse manifeste ou sous l'emprise manifeste de produits stupéfiants</w:t>
      </w:r>
      <w:r>
        <w:t> </w:t>
      </w:r>
      <w:r w:rsidRPr="008D70F1">
        <w:t>; 13° Lorsqu'il est commis, dans l'exercice de cette activité, sur une personne qui se livre à la prostitution, y compris de façon occasionnelle</w:t>
      </w:r>
      <w:r>
        <w:t> </w:t>
      </w:r>
      <w:r w:rsidRPr="008D70F1">
        <w:t>; 14° Lorsqu'un mineur était présent au m</w:t>
      </w:r>
      <w:r w:rsidRPr="008D70F1">
        <w:t>o</w:t>
      </w:r>
      <w:r w:rsidRPr="008D70F1">
        <w:t>ment des faits et y a assisté</w:t>
      </w:r>
      <w:r>
        <w:t> </w:t>
      </w:r>
      <w:r w:rsidRPr="008D70F1">
        <w:t>; 15° Lorsqu'une sub</w:t>
      </w:r>
      <w:r w:rsidRPr="008D70F1">
        <w:t>s</w:t>
      </w:r>
      <w:r w:rsidRPr="008D70F1">
        <w:t>tance a été administrée à la victime, à son insu, afin d'altérer son discernement ou le contrôle de ses a</w:t>
      </w:r>
      <w:r w:rsidRPr="008D70F1">
        <w:t>c</w:t>
      </w:r>
      <w:r w:rsidRPr="008D70F1">
        <w:t>tes</w:t>
      </w:r>
      <w:r>
        <w:t> </w:t>
      </w:r>
      <w:r w:rsidRPr="008D70F1">
        <w:t>».</w:t>
      </w:r>
    </w:p>
  </w:footnote>
  <w:footnote w:id="13">
    <w:p w14:paraId="37578390" w14:textId="77777777" w:rsidR="00F3214B" w:rsidRDefault="00F3214B" w:rsidP="00F3214B">
      <w:pPr>
        <w:pStyle w:val="Notedebasdepage"/>
      </w:pPr>
      <w:r>
        <w:rPr>
          <w:rStyle w:val="Appelnotedebasdep"/>
        </w:rPr>
        <w:footnoteRef/>
      </w:r>
      <w:r>
        <w:t xml:space="preserve"> </w:t>
      </w:r>
      <w:r>
        <w:tab/>
      </w:r>
      <w:r w:rsidRPr="008D70F1">
        <w:t>Si la mort de la victime a été voulue par l’auteur du viol, c’est la qualific</w:t>
      </w:r>
      <w:r w:rsidRPr="008D70F1">
        <w:t>a</w:t>
      </w:r>
      <w:r w:rsidRPr="008D70F1">
        <w:t>tion de meurtre commis avec la circonstance aggravante du viol qui s’applique, l’infraction de meurtre, jugée plus grave, prenant le pas sur celle de viol, comme le prévoit l’alinéa 1 de l’article 221-2 du Code pénal</w:t>
      </w:r>
      <w:r>
        <w:t> </w:t>
      </w:r>
      <w:r w:rsidRPr="008D70F1">
        <w:t>: «</w:t>
      </w:r>
      <w:r>
        <w:t> </w:t>
      </w:r>
      <w:r w:rsidRPr="006D5FEC">
        <w:rPr>
          <w:i/>
        </w:rPr>
        <w:t>Le meurtre qui précède, accompagne ou suit un autre crime est puni de la réclusion cr</w:t>
      </w:r>
      <w:r w:rsidRPr="006D5FEC">
        <w:rPr>
          <w:i/>
        </w:rPr>
        <w:t>i</w:t>
      </w:r>
      <w:r w:rsidRPr="006D5FEC">
        <w:rPr>
          <w:i/>
        </w:rPr>
        <w:t>minelle à perpétuité </w:t>
      </w:r>
      <w:r w:rsidRPr="008D70F1">
        <w:t>» (alinéa 1).</w:t>
      </w:r>
    </w:p>
  </w:footnote>
  <w:footnote w:id="14">
    <w:p w14:paraId="335F04B4" w14:textId="77777777" w:rsidR="00F3214B" w:rsidRDefault="00F3214B" w:rsidP="00F3214B">
      <w:pPr>
        <w:pStyle w:val="Notedebasdepage"/>
      </w:pPr>
      <w:r>
        <w:rPr>
          <w:rStyle w:val="Appelnotedebasdep"/>
        </w:rPr>
        <w:footnoteRef/>
      </w:r>
      <w:r>
        <w:t xml:space="preserve"> </w:t>
      </w:r>
      <w:r>
        <w:tab/>
      </w:r>
      <w:r w:rsidRPr="006D5FEC">
        <w:t xml:space="preserve">Article 222-25 du Code pénal. </w:t>
      </w:r>
    </w:p>
  </w:footnote>
  <w:footnote w:id="15">
    <w:p w14:paraId="5F443B9D" w14:textId="77777777" w:rsidR="00F3214B" w:rsidRDefault="00F3214B" w:rsidP="00F3214B">
      <w:pPr>
        <w:pStyle w:val="Notedebasdepage"/>
      </w:pPr>
      <w:r>
        <w:rPr>
          <w:rStyle w:val="Appelnotedebasdep"/>
        </w:rPr>
        <w:footnoteRef/>
      </w:r>
      <w:r>
        <w:t xml:space="preserve"> </w:t>
      </w:r>
      <w:r>
        <w:tab/>
      </w:r>
      <w:r w:rsidRPr="002E60F3">
        <w:t>Article 222-26 du Code pénal.</w:t>
      </w:r>
    </w:p>
  </w:footnote>
  <w:footnote w:id="16">
    <w:p w14:paraId="57AFE826" w14:textId="77777777" w:rsidR="00F3214B" w:rsidRDefault="00F3214B" w:rsidP="00F3214B">
      <w:pPr>
        <w:pStyle w:val="Notedebasdepage"/>
      </w:pPr>
      <w:r>
        <w:rPr>
          <w:rStyle w:val="Appelnotedebasdep"/>
        </w:rPr>
        <w:footnoteRef/>
      </w:r>
      <w:r>
        <w:t xml:space="preserve"> </w:t>
      </w:r>
      <w:r>
        <w:tab/>
      </w:r>
      <w:r w:rsidRPr="006D5FEC">
        <w:t>Article 222-26-1 du Code pénal</w:t>
      </w:r>
      <w:r>
        <w:t> </w:t>
      </w:r>
      <w:r w:rsidRPr="006D5FEC">
        <w:t>: «</w:t>
      </w:r>
      <w:r>
        <w:t> </w:t>
      </w:r>
      <w:r w:rsidRPr="006D5FEC">
        <w:t>Le fait de faire à une personne des offres ou des promesses ou de lui proposer des dons, présents ou avantages que</w:t>
      </w:r>
      <w:r w:rsidRPr="006D5FEC">
        <w:t>l</w:t>
      </w:r>
      <w:r w:rsidRPr="006D5FEC">
        <w:t>conques afin qu'elle commette un viol, y compris hors du territoire national, est puni, lorsque ce crime n'a été ni commis, ni tenté, de dix ans d'empriso</w:t>
      </w:r>
      <w:r w:rsidRPr="006D5FEC">
        <w:t>n</w:t>
      </w:r>
      <w:r w:rsidRPr="006D5FEC">
        <w:t>nement et de 150 000 € d'amende ».</w:t>
      </w:r>
    </w:p>
  </w:footnote>
  <w:footnote w:id="17">
    <w:p w14:paraId="1269EC26" w14:textId="77777777" w:rsidR="00F3214B" w:rsidRDefault="00F3214B" w:rsidP="00F3214B">
      <w:pPr>
        <w:pStyle w:val="Notedebasdepage"/>
      </w:pPr>
      <w:r>
        <w:rPr>
          <w:rStyle w:val="Appelnotedebasdep"/>
        </w:rPr>
        <w:footnoteRef/>
      </w:r>
      <w:r>
        <w:t xml:space="preserve"> </w:t>
      </w:r>
      <w:r>
        <w:tab/>
      </w:r>
      <w:r w:rsidRPr="002E60F3">
        <w:t>Article créé en réaction à une affaire fortement médiatisée, dans laquelle l’irresponsabilité pénale de l’auteur des faits avait tout particulièrement ch</w:t>
      </w:r>
      <w:r w:rsidRPr="002E60F3">
        <w:t>o</w:t>
      </w:r>
      <w:r w:rsidRPr="002E60F3">
        <w:t>qué l’opinion p</w:t>
      </w:r>
      <w:r w:rsidRPr="002E60F3">
        <w:t>u</w:t>
      </w:r>
      <w:r w:rsidRPr="002E60F3">
        <w:t>blique. Il encourt de fait les critiques ordinairement faites aux lois de circonstance.</w:t>
      </w:r>
    </w:p>
  </w:footnote>
  <w:footnote w:id="18">
    <w:p w14:paraId="04952854" w14:textId="77777777" w:rsidR="00F3214B" w:rsidRDefault="00F3214B" w:rsidP="00F3214B">
      <w:pPr>
        <w:pStyle w:val="Notedebasdepage"/>
      </w:pPr>
      <w:r>
        <w:rPr>
          <w:rStyle w:val="Appelnotedebasdep"/>
        </w:rPr>
        <w:footnoteRef/>
      </w:r>
      <w:r>
        <w:t xml:space="preserve"> </w:t>
      </w:r>
      <w:r>
        <w:tab/>
      </w:r>
      <w:r w:rsidRPr="006D5FEC">
        <w:t>Article 222-26-2 du Code pénal</w:t>
      </w:r>
      <w:r>
        <w:t> </w:t>
      </w:r>
      <w:r w:rsidRPr="006D5FEC">
        <w:t>: «</w:t>
      </w:r>
      <w:r>
        <w:t> </w:t>
      </w:r>
      <w:r w:rsidRPr="006D5FEC">
        <w:t>Est puni des peines suivantes le fait pour une personne d'avoir consommé volontairement, de façon illicite ou manife</w:t>
      </w:r>
      <w:r w:rsidRPr="006D5FEC">
        <w:t>s</w:t>
      </w:r>
      <w:r w:rsidRPr="006D5FEC">
        <w:t>tement excessive, des substances psychoactives en ayant connaissance du fait que cette consommation est susceptible de la conduire à mettre délib</w:t>
      </w:r>
      <w:r w:rsidRPr="006D5FEC">
        <w:t>é</w:t>
      </w:r>
      <w:r w:rsidRPr="006D5FEC">
        <w:t>rément autrui en danger, lorsque cette consommation a entraîné un trouble psychique ou neuropsychique temporaire sous l'empire duquel elle a co</w:t>
      </w:r>
      <w:r w:rsidRPr="006D5FEC">
        <w:t>m</w:t>
      </w:r>
      <w:r w:rsidRPr="006D5FEC">
        <w:t>mis un viol dont elle est déclarée pénalement irresponsable en application du premier al</w:t>
      </w:r>
      <w:r w:rsidRPr="006D5FEC">
        <w:t>i</w:t>
      </w:r>
      <w:r w:rsidRPr="006D5FEC">
        <w:t>néa de l'article 122-1 » (alinéa 1)</w:t>
      </w:r>
      <w:r>
        <w:t> </w:t>
      </w:r>
      <w:r w:rsidRPr="006D5FEC">
        <w:t>: «</w:t>
      </w:r>
      <w:r>
        <w:t> </w:t>
      </w:r>
      <w:r w:rsidRPr="006D5FEC">
        <w:t>1° Dix ans d'empriso</w:t>
      </w:r>
      <w:r w:rsidRPr="006D5FEC">
        <w:t>n</w:t>
      </w:r>
      <w:r w:rsidRPr="006D5FEC">
        <w:t>nement et 150</w:t>
      </w:r>
      <w:r>
        <w:t> </w:t>
      </w:r>
      <w:r w:rsidRPr="006D5FEC">
        <w:t>000 euros d'amende, si le viol a été commis avec des tortures ou des actes de ba</w:t>
      </w:r>
      <w:r w:rsidRPr="006D5FEC">
        <w:t>r</w:t>
      </w:r>
      <w:r w:rsidRPr="006D5FEC">
        <w:t>barie ou s'il a entraîné la mort</w:t>
      </w:r>
      <w:r>
        <w:t> </w:t>
      </w:r>
      <w:r w:rsidRPr="006D5FEC">
        <w:t>» (alinéa 2)</w:t>
      </w:r>
      <w:r>
        <w:t> </w:t>
      </w:r>
      <w:r w:rsidRPr="006D5FEC">
        <w:t>; «</w:t>
      </w:r>
      <w:r>
        <w:t> </w:t>
      </w:r>
      <w:r w:rsidRPr="006D5FEC">
        <w:t>2° Sept ans d'emprisonnement et 100 000 euros d'amende dans les autres cas » (alinéa 3). «</w:t>
      </w:r>
      <w:r>
        <w:t> </w:t>
      </w:r>
      <w:r w:rsidRPr="006D5FEC">
        <w:t>Si l'infraction me</w:t>
      </w:r>
      <w:r w:rsidRPr="006D5FEC">
        <w:t>n</w:t>
      </w:r>
      <w:r w:rsidRPr="006D5FEC">
        <w:t>tionnée au premier alinéa du présent article a été commise par une personne qui a été précédemment déclarée pénalement irresponsable d'un homicide v</w:t>
      </w:r>
      <w:r w:rsidRPr="006D5FEC">
        <w:t>o</w:t>
      </w:r>
      <w:r w:rsidRPr="006D5FEC">
        <w:t>lontaire en application du premier alinéa de l'article 122-1 en raison d'une ab</w:t>
      </w:r>
      <w:r w:rsidRPr="006D5FEC">
        <w:t>o</w:t>
      </w:r>
      <w:r w:rsidRPr="006D5FEC">
        <w:t>lition de son discernement ou du contrôle de ses actes résultant d'un trouble psychique ou neuropsychique provoqué par la même consommation volonta</w:t>
      </w:r>
      <w:r w:rsidRPr="006D5FEC">
        <w:t>i</w:t>
      </w:r>
      <w:r w:rsidRPr="006D5FEC">
        <w:t>re de substances psychoactives, la peine prévue au 1° du présent article est portée à quinze ans de réclusion crim</w:t>
      </w:r>
      <w:r w:rsidRPr="006D5FEC">
        <w:t>i</w:t>
      </w:r>
      <w:r w:rsidRPr="006D5FEC">
        <w:t>nelle et celle prévue au 2° est portée à dix ans d'emprisonnement et à 150 000 euros d'amende. Dans les cas prévus au présent alinéa, les articles 132-8 et 132-9 ne sont pas applicables » (alinéa 4).</w:t>
      </w:r>
    </w:p>
  </w:footnote>
  <w:footnote w:id="19">
    <w:p w14:paraId="6938CCAB" w14:textId="77777777" w:rsidR="00F3214B" w:rsidRDefault="00F3214B" w:rsidP="00F3214B">
      <w:pPr>
        <w:pStyle w:val="Notedebasdepage"/>
      </w:pPr>
      <w:r>
        <w:rPr>
          <w:rStyle w:val="Appelnotedebasdep"/>
        </w:rPr>
        <w:footnoteRef/>
      </w:r>
      <w:r>
        <w:t xml:space="preserve"> </w:t>
      </w:r>
      <w:r>
        <w:tab/>
      </w:r>
      <w:r w:rsidRPr="002E60F3">
        <w:t>Dans sa version intégrant les modifications apportées par l’article 1 de la loi n°2021-478 du 21 avril 2021.</w:t>
      </w:r>
    </w:p>
  </w:footnote>
  <w:footnote w:id="20">
    <w:p w14:paraId="4310B821" w14:textId="77777777" w:rsidR="00F3214B" w:rsidRDefault="00F3214B" w:rsidP="00F3214B">
      <w:pPr>
        <w:pStyle w:val="Notedebasdepage"/>
      </w:pPr>
      <w:r>
        <w:rPr>
          <w:rStyle w:val="Appelnotedebasdep"/>
        </w:rPr>
        <w:footnoteRef/>
      </w:r>
      <w:r>
        <w:t xml:space="preserve"> </w:t>
      </w:r>
      <w:r>
        <w:tab/>
      </w:r>
      <w:r w:rsidRPr="002E60F3">
        <w:rPr>
          <w:szCs w:val="24"/>
          <w:lang w:eastAsia="fr-FR"/>
        </w:rPr>
        <w:t xml:space="preserve">La contrainte dont il est ici question </w:t>
      </w:r>
      <w:r w:rsidRPr="002E60F3">
        <w:rPr>
          <w:i/>
          <w:szCs w:val="24"/>
          <w:lang w:eastAsia="fr-FR"/>
        </w:rPr>
        <w:t>« peut être physique ou morale ».</w:t>
      </w:r>
      <w:r w:rsidRPr="002E60F3">
        <w:rPr>
          <w:szCs w:val="24"/>
          <w:lang w:eastAsia="fr-FR"/>
        </w:rPr>
        <w:t xml:space="preserve"> </w:t>
      </w:r>
      <w:r w:rsidRPr="002E60F3">
        <w:t>Al</w:t>
      </w:r>
      <w:r w:rsidRPr="002E60F3">
        <w:t>i</w:t>
      </w:r>
      <w:r w:rsidRPr="002E60F3">
        <w:t>néa 1 de l’article 222-22-1 du Code pénal, dans sa version découlant de l’article 2 de la loi n°2021-478 du 21 avril 2021.</w:t>
      </w:r>
    </w:p>
  </w:footnote>
  <w:footnote w:id="21">
    <w:p w14:paraId="73749510" w14:textId="77777777" w:rsidR="00F3214B" w:rsidRDefault="00F3214B" w:rsidP="00F3214B">
      <w:pPr>
        <w:pStyle w:val="Notedebasdepage"/>
      </w:pPr>
      <w:r>
        <w:rPr>
          <w:rStyle w:val="Appelnotedebasdep"/>
        </w:rPr>
        <w:footnoteRef/>
      </w:r>
      <w:r>
        <w:t xml:space="preserve"> </w:t>
      </w:r>
      <w:r>
        <w:tab/>
      </w:r>
      <w:r w:rsidRPr="002E60F3">
        <w:rPr>
          <w:lang w:eastAsia="fr-FR"/>
        </w:rPr>
        <w:t>Si la victime a moins de quinze ans, le législateur considère qu’elle ne di</w:t>
      </w:r>
      <w:r w:rsidRPr="002E60F3">
        <w:rPr>
          <w:lang w:eastAsia="fr-FR"/>
        </w:rPr>
        <w:t>s</w:t>
      </w:r>
      <w:r w:rsidRPr="002E60F3">
        <w:rPr>
          <w:lang w:eastAsia="fr-FR"/>
        </w:rPr>
        <w:t xml:space="preserve">pose pas du </w:t>
      </w:r>
      <w:r w:rsidRPr="002E60F3">
        <w:rPr>
          <w:i/>
          <w:lang w:eastAsia="fr-FR"/>
        </w:rPr>
        <w:t>« discernement nécessaire »</w:t>
      </w:r>
      <w:r w:rsidRPr="002E60F3">
        <w:rPr>
          <w:lang w:eastAsia="fr-FR"/>
        </w:rPr>
        <w:t xml:space="preserve"> à la réalisation d’un acte sexuel et en d</w:t>
      </w:r>
      <w:r w:rsidRPr="002E60F3">
        <w:rPr>
          <w:lang w:eastAsia="fr-FR"/>
        </w:rPr>
        <w:t>é</w:t>
      </w:r>
      <w:r w:rsidRPr="002E60F3">
        <w:rPr>
          <w:lang w:eastAsia="fr-FR"/>
        </w:rPr>
        <w:t xml:space="preserve">duit que l’auteur des faits commet un </w:t>
      </w:r>
      <w:r w:rsidRPr="002E60F3">
        <w:rPr>
          <w:i/>
          <w:lang w:eastAsia="fr-FR"/>
        </w:rPr>
        <w:t>« abus de la vulnérabilité de la vi</w:t>
      </w:r>
      <w:r w:rsidRPr="002E60F3">
        <w:rPr>
          <w:i/>
          <w:lang w:eastAsia="fr-FR"/>
        </w:rPr>
        <w:t>c</w:t>
      </w:r>
      <w:r w:rsidRPr="002E60F3">
        <w:rPr>
          <w:i/>
          <w:lang w:eastAsia="fr-FR"/>
        </w:rPr>
        <w:t xml:space="preserve">time » </w:t>
      </w:r>
      <w:r w:rsidRPr="002E60F3">
        <w:rPr>
          <w:lang w:eastAsia="fr-FR"/>
        </w:rPr>
        <w:t xml:space="preserve">qui caractérise </w:t>
      </w:r>
      <w:r w:rsidRPr="002E60F3">
        <w:rPr>
          <w:i/>
          <w:lang w:eastAsia="fr-FR"/>
        </w:rPr>
        <w:t xml:space="preserve">« la contrainte morale ou la surprise » ; </w:t>
      </w:r>
      <w:r w:rsidRPr="002E60F3">
        <w:t>Alinéa 3 de l’article 222-22-1 du Code pénal modifié.</w:t>
      </w:r>
    </w:p>
  </w:footnote>
  <w:footnote w:id="22">
    <w:p w14:paraId="5A87872A" w14:textId="77777777" w:rsidR="00F3214B" w:rsidRDefault="00F3214B" w:rsidP="00F3214B">
      <w:pPr>
        <w:pStyle w:val="Notedebasdepage"/>
      </w:pPr>
      <w:r>
        <w:rPr>
          <w:rStyle w:val="Appelnotedebasdep"/>
        </w:rPr>
        <w:footnoteRef/>
      </w:r>
      <w:r>
        <w:t xml:space="preserve"> </w:t>
      </w:r>
      <w:r>
        <w:tab/>
      </w:r>
      <w:r w:rsidRPr="002E60F3">
        <w:t>Alinéa 2 de l’article 222-22-1 du Code pénal modifié.</w:t>
      </w:r>
    </w:p>
  </w:footnote>
  <w:footnote w:id="23">
    <w:p w14:paraId="1C5935F2" w14:textId="77777777" w:rsidR="00F3214B" w:rsidRDefault="00F3214B" w:rsidP="00F3214B">
      <w:pPr>
        <w:pStyle w:val="Notedebasdepage"/>
      </w:pPr>
      <w:r>
        <w:rPr>
          <w:rStyle w:val="Appelnotedebasdep"/>
        </w:rPr>
        <w:footnoteRef/>
      </w:r>
      <w:r>
        <w:t xml:space="preserve"> </w:t>
      </w:r>
      <w:r>
        <w:tab/>
      </w:r>
      <w:r w:rsidRPr="002E60F3">
        <w:t>Modifié par l’Ordonnance n°2000-916 du 19 septembre 2000.</w:t>
      </w:r>
    </w:p>
  </w:footnote>
  <w:footnote w:id="24">
    <w:p w14:paraId="257736AB" w14:textId="77777777" w:rsidR="00F3214B" w:rsidRDefault="00F3214B" w:rsidP="00F3214B">
      <w:pPr>
        <w:pStyle w:val="Notedebasdepage"/>
      </w:pPr>
      <w:r>
        <w:rPr>
          <w:rStyle w:val="Appelnotedebasdep"/>
        </w:rPr>
        <w:footnoteRef/>
      </w:r>
      <w:r>
        <w:t xml:space="preserve"> </w:t>
      </w:r>
      <w:r>
        <w:tab/>
      </w:r>
      <w:r w:rsidRPr="006D5FEC">
        <w:t>Selon l’article 222-28 du Code pénal (modifié par les articles 3, 13 et 14 de la loi n°2018-703 du 3 août 2018), ces circonstances aggravantes sont au nombre de onze</w:t>
      </w:r>
      <w:r>
        <w:t> </w:t>
      </w:r>
      <w:r w:rsidRPr="006D5FEC">
        <w:t>: «</w:t>
      </w:r>
      <w:r>
        <w:t> </w:t>
      </w:r>
      <w:r w:rsidRPr="006D5FEC">
        <w:t>1</w:t>
      </w:r>
      <w:r w:rsidRPr="006D5FEC">
        <w:rPr>
          <w:i/>
        </w:rPr>
        <w:t>° Lorsqu'elle (l’infraction) a entraîné une blessure, une lésion ou une incapacité totale de travail supérieure à huit jours ; 2° Lor</w:t>
      </w:r>
      <w:r w:rsidRPr="006D5FEC">
        <w:rPr>
          <w:i/>
        </w:rPr>
        <w:t>s</w:t>
      </w:r>
      <w:r w:rsidRPr="006D5FEC">
        <w:rPr>
          <w:i/>
        </w:rPr>
        <w:t>qu'elle est commise par un ascendant ou par toute autre personne ayant sur la victime une autorité de droit ou de fait ; 3° Lorsqu'elle est commise par une personne qui abuse de l'autorité que lui confèrent ses fonctions ; 4° Lorsqu'elle est commise par plusieurs personnes agissant en qualité d'auteur ou de compl</w:t>
      </w:r>
      <w:r w:rsidRPr="006D5FEC">
        <w:rPr>
          <w:i/>
        </w:rPr>
        <w:t>i</w:t>
      </w:r>
      <w:r w:rsidRPr="006D5FEC">
        <w:rPr>
          <w:i/>
        </w:rPr>
        <w:t>ce ; 5° Lorsqu'elle est commise avec usage ou menace d'une arme ; 6° Lor</w:t>
      </w:r>
      <w:r w:rsidRPr="006D5FEC">
        <w:rPr>
          <w:i/>
        </w:rPr>
        <w:t>s</w:t>
      </w:r>
      <w:r w:rsidRPr="006D5FEC">
        <w:rPr>
          <w:i/>
        </w:rPr>
        <w:t>que la victime a été mise en contact avec l'auteur des faits grâce à l'utilis</w:t>
      </w:r>
      <w:r w:rsidRPr="006D5FEC">
        <w:rPr>
          <w:i/>
        </w:rPr>
        <w:t>a</w:t>
      </w:r>
      <w:r w:rsidRPr="006D5FEC">
        <w:rPr>
          <w:i/>
        </w:rPr>
        <w:t>tion, pour la diffusion de messages à destination d'un public non déterminé, d'un réseau de communication électronique ; 7° Lorsqu'elle est commise par le conjoint ou le concubin de la victime ou le partenaire lié à la victime par un pacte civil de solidarité ; 8° Lorsqu'elle est commise par une personne agi</w:t>
      </w:r>
      <w:r w:rsidRPr="006D5FEC">
        <w:rPr>
          <w:i/>
        </w:rPr>
        <w:t>s</w:t>
      </w:r>
      <w:r w:rsidRPr="006D5FEC">
        <w:rPr>
          <w:i/>
        </w:rPr>
        <w:t>sant en état d'ivresse manifeste ou sous l'emprise manifeste de produits stup</w:t>
      </w:r>
      <w:r w:rsidRPr="006D5FEC">
        <w:rPr>
          <w:i/>
        </w:rPr>
        <w:t>é</w:t>
      </w:r>
      <w:r w:rsidRPr="006D5FEC">
        <w:rPr>
          <w:i/>
        </w:rPr>
        <w:t>fiants ; 9° Lorsqu'elle est commise, dans l'exercice de cette activité, sur une personne qui se livre à la prostitution, y compris de f</w:t>
      </w:r>
      <w:r w:rsidRPr="006D5FEC">
        <w:rPr>
          <w:i/>
        </w:rPr>
        <w:t>a</w:t>
      </w:r>
      <w:r w:rsidRPr="006D5FEC">
        <w:rPr>
          <w:i/>
        </w:rPr>
        <w:t>çon occasionnelle ; 10° Lorsqu'un mineur était présent au moment des faits et y a assisté ; 11° Lor</w:t>
      </w:r>
      <w:r w:rsidRPr="006D5FEC">
        <w:rPr>
          <w:i/>
        </w:rPr>
        <w:t>s</w:t>
      </w:r>
      <w:r w:rsidRPr="006D5FEC">
        <w:rPr>
          <w:i/>
        </w:rPr>
        <w:t>qu'une substance a été admini</w:t>
      </w:r>
      <w:r w:rsidRPr="006D5FEC">
        <w:rPr>
          <w:i/>
        </w:rPr>
        <w:t>s</w:t>
      </w:r>
      <w:r w:rsidRPr="006D5FEC">
        <w:rPr>
          <w:i/>
        </w:rPr>
        <w:t>trée à la victime, à son insu, afin d'altérer son discernement ou le contrôle de ses actes </w:t>
      </w:r>
      <w:r w:rsidRPr="006D5FEC">
        <w:t>».</w:t>
      </w:r>
    </w:p>
  </w:footnote>
  <w:footnote w:id="25">
    <w:p w14:paraId="697908F9" w14:textId="77777777" w:rsidR="00F3214B" w:rsidRDefault="00F3214B" w:rsidP="00F3214B">
      <w:pPr>
        <w:pStyle w:val="Notedebasdepage"/>
      </w:pPr>
      <w:r>
        <w:rPr>
          <w:rStyle w:val="Appelnotedebasdep"/>
        </w:rPr>
        <w:footnoteRef/>
      </w:r>
      <w:r>
        <w:t xml:space="preserve"> </w:t>
      </w:r>
      <w:r>
        <w:tab/>
      </w:r>
      <w:r w:rsidRPr="002E60F3">
        <w:t>Article 222-29 du Code pénal, modifié par l’article 7 de la loi n°2018-703 du 3 août 2018.</w:t>
      </w:r>
    </w:p>
  </w:footnote>
  <w:footnote w:id="26">
    <w:p w14:paraId="635A23E7" w14:textId="77777777" w:rsidR="00F3214B" w:rsidRDefault="00F3214B" w:rsidP="00F3214B">
      <w:pPr>
        <w:pStyle w:val="Notedebasdepage"/>
      </w:pPr>
      <w:r>
        <w:rPr>
          <w:rStyle w:val="Appelnotedebasdep"/>
        </w:rPr>
        <w:footnoteRef/>
      </w:r>
      <w:r>
        <w:t xml:space="preserve"> </w:t>
      </w:r>
      <w:r>
        <w:tab/>
      </w:r>
      <w:r w:rsidRPr="006D5FEC">
        <w:t>Le même article recense sept circonstances aggravantes</w:t>
      </w:r>
      <w:r>
        <w:t> </w:t>
      </w:r>
      <w:r w:rsidRPr="006D5FEC">
        <w:t>: «</w:t>
      </w:r>
      <w:r>
        <w:t> </w:t>
      </w:r>
      <w:r w:rsidRPr="006D5FEC">
        <w:t>1° Lorsqu'elle (l’infraction) a entraîné une blessure ou une lésion ; 2° Lorsqu'elle est comm</w:t>
      </w:r>
      <w:r w:rsidRPr="006D5FEC">
        <w:t>i</w:t>
      </w:r>
      <w:r w:rsidRPr="006D5FEC">
        <w:t>se par un ascendant ou par toute autre personne ayant sur la victime une aut</w:t>
      </w:r>
      <w:r w:rsidRPr="006D5FEC">
        <w:t>o</w:t>
      </w:r>
      <w:r w:rsidRPr="006D5FEC">
        <w:t>rité de droit ou de fait ; 3° Lorsqu'elle est commise par une perso</w:t>
      </w:r>
      <w:r w:rsidRPr="006D5FEC">
        <w:t>n</w:t>
      </w:r>
      <w:r w:rsidRPr="006D5FEC">
        <w:t>ne qui abuse de l'autorité que lui confèrent ses fonctions ; 4° Lorsqu'elle est commise par plusieurs personnes agissant en qualité d'auteur ou de complice ; 5° Lorsqu'e</w:t>
      </w:r>
      <w:r w:rsidRPr="006D5FEC">
        <w:t>l</w:t>
      </w:r>
      <w:r w:rsidRPr="006D5FEC">
        <w:t>le est commise avec usage ou menace d'une arme ; 6° (abrogé) ; 7° Lorsqu'elle est commise par une personne agissant en état d'ivresse manife</w:t>
      </w:r>
      <w:r w:rsidRPr="006D5FEC">
        <w:t>s</w:t>
      </w:r>
      <w:r w:rsidRPr="006D5FEC">
        <w:t>te ou sous l'emprise manifeste de produits stupéfiants ; 8° Lorsqu'une substance a été administrée à la victime, à son insu, afin d'altérer son discern</w:t>
      </w:r>
      <w:r w:rsidRPr="006D5FEC">
        <w:t>e</w:t>
      </w:r>
      <w:r w:rsidRPr="006D5FEC">
        <w:t>ment ou le contrôle de ses actes ».</w:t>
      </w:r>
    </w:p>
  </w:footnote>
  <w:footnote w:id="27">
    <w:p w14:paraId="142040E5" w14:textId="77777777" w:rsidR="00F3214B" w:rsidRDefault="00F3214B" w:rsidP="00F3214B">
      <w:pPr>
        <w:pStyle w:val="Notedebasdepage"/>
      </w:pPr>
      <w:r>
        <w:rPr>
          <w:rStyle w:val="Appelnotedebasdep"/>
        </w:rPr>
        <w:footnoteRef/>
      </w:r>
      <w:r>
        <w:t xml:space="preserve"> </w:t>
      </w:r>
      <w:r>
        <w:tab/>
      </w:r>
      <w:r w:rsidRPr="002E60F3">
        <w:t>Article 222-29-1 du Code pénal ; article 1 de la loi n°2018-703 du 3 août 2018.</w:t>
      </w:r>
    </w:p>
  </w:footnote>
  <w:footnote w:id="28">
    <w:p w14:paraId="34663ADA" w14:textId="77777777" w:rsidR="00F3214B" w:rsidRDefault="00F3214B" w:rsidP="00F3214B">
      <w:pPr>
        <w:pStyle w:val="Notedebasdepage"/>
      </w:pPr>
      <w:r>
        <w:rPr>
          <w:rStyle w:val="Appelnotedebasdep"/>
        </w:rPr>
        <w:footnoteRef/>
      </w:r>
      <w:r>
        <w:t xml:space="preserve"> </w:t>
      </w:r>
      <w:r>
        <w:tab/>
      </w:r>
      <w:r w:rsidRPr="002E60F3">
        <w:t>Article 222-29-2 du Code pénal ; article 1 de la loi n°2018-703 du 3 août 2018.</w:t>
      </w:r>
    </w:p>
  </w:footnote>
  <w:footnote w:id="29">
    <w:p w14:paraId="50EC96BC" w14:textId="77777777" w:rsidR="00F3214B" w:rsidRDefault="00F3214B" w:rsidP="00F3214B">
      <w:pPr>
        <w:pStyle w:val="Notedebasdepage"/>
      </w:pPr>
      <w:r>
        <w:rPr>
          <w:rStyle w:val="Appelnotedebasdep"/>
        </w:rPr>
        <w:footnoteRef/>
      </w:r>
      <w:r>
        <w:t xml:space="preserve"> </w:t>
      </w:r>
      <w:r>
        <w:tab/>
      </w:r>
      <w:r w:rsidRPr="002E60F3">
        <w:t>Article 222-29-3 du Code pénal ; article 1 de la loi n°2018-703 du 3 août 2018.</w:t>
      </w:r>
    </w:p>
  </w:footnote>
  <w:footnote w:id="30">
    <w:p w14:paraId="1F5F8676" w14:textId="77777777" w:rsidR="00F3214B" w:rsidRDefault="00F3214B" w:rsidP="00F3214B">
      <w:pPr>
        <w:pStyle w:val="Notedebasdepage"/>
      </w:pPr>
      <w:r>
        <w:rPr>
          <w:rStyle w:val="Appelnotedebasdep"/>
        </w:rPr>
        <w:footnoteRef/>
      </w:r>
      <w:r>
        <w:t xml:space="preserve"> </w:t>
      </w:r>
      <w:r>
        <w:tab/>
      </w:r>
      <w:r w:rsidRPr="002E60F3">
        <w:t>Article 222-30-1 du Code pénal ; article 3 de la loi n°2018-703 du 3 août 2018.</w:t>
      </w:r>
    </w:p>
  </w:footnote>
  <w:footnote w:id="31">
    <w:p w14:paraId="2EB62061" w14:textId="77777777" w:rsidR="00F3214B" w:rsidRDefault="00F3214B" w:rsidP="00F3214B">
      <w:pPr>
        <w:pStyle w:val="Notedebasdepage"/>
      </w:pPr>
      <w:r>
        <w:rPr>
          <w:rStyle w:val="Appelnotedebasdep"/>
        </w:rPr>
        <w:footnoteRef/>
      </w:r>
      <w:r>
        <w:t xml:space="preserve"> </w:t>
      </w:r>
      <w:r>
        <w:tab/>
      </w:r>
      <w:r w:rsidRPr="002E60F3">
        <w:rPr>
          <w:lang w:eastAsia="fr-FR"/>
        </w:rPr>
        <w:t>Ce par une peine « de cinq ans d'emprisonnement et de 75 000 € d'ame</w:t>
      </w:r>
      <w:r w:rsidRPr="002E60F3">
        <w:rPr>
          <w:lang w:eastAsia="fr-FR"/>
        </w:rPr>
        <w:t>n</w:t>
      </w:r>
      <w:r w:rsidRPr="002E60F3">
        <w:rPr>
          <w:lang w:eastAsia="fr-FR"/>
        </w:rPr>
        <w:t>de », peine portée à « sept ans d'emprisonnement et 100 000 € d'amende » « lorsque les faits sont commis sur un mineur de quinze ans ou une personne particuli</w:t>
      </w:r>
      <w:r w:rsidRPr="002E60F3">
        <w:rPr>
          <w:lang w:eastAsia="fr-FR"/>
        </w:rPr>
        <w:t>è</w:t>
      </w:r>
      <w:r w:rsidRPr="002E60F3">
        <w:rPr>
          <w:lang w:eastAsia="fr-FR"/>
        </w:rPr>
        <w:t>rement vulnérable ».</w:t>
      </w:r>
    </w:p>
  </w:footnote>
  <w:footnote w:id="32">
    <w:p w14:paraId="1C04F5F8" w14:textId="77777777" w:rsidR="00F3214B" w:rsidRDefault="00F3214B" w:rsidP="00F3214B">
      <w:pPr>
        <w:pStyle w:val="Notedebasdepage"/>
      </w:pPr>
      <w:r>
        <w:rPr>
          <w:rStyle w:val="Appelnotedebasdep"/>
        </w:rPr>
        <w:footnoteRef/>
      </w:r>
      <w:r>
        <w:t xml:space="preserve"> </w:t>
      </w:r>
      <w:r>
        <w:tab/>
      </w:r>
      <w:r w:rsidRPr="002E60F3">
        <w:t>Article 222-30-2 du Code pénal ; article 24 de la loi n°2020-936 du 30 jui</w:t>
      </w:r>
      <w:r w:rsidRPr="002E60F3">
        <w:t>l</w:t>
      </w:r>
      <w:r w:rsidRPr="002E60F3">
        <w:t>let 2020.</w:t>
      </w:r>
    </w:p>
  </w:footnote>
  <w:footnote w:id="33">
    <w:p w14:paraId="055CDE93" w14:textId="77777777" w:rsidR="00F3214B" w:rsidRDefault="00F3214B" w:rsidP="00F3214B">
      <w:pPr>
        <w:pStyle w:val="Notedebasdepage"/>
      </w:pPr>
      <w:r>
        <w:rPr>
          <w:rStyle w:val="Appelnotedebasdep"/>
        </w:rPr>
        <w:footnoteRef/>
      </w:r>
      <w:r>
        <w:t xml:space="preserve"> </w:t>
      </w:r>
      <w:r>
        <w:tab/>
      </w:r>
      <w:r w:rsidRPr="002E60F3">
        <w:rPr>
          <w:lang w:eastAsia="fr-FR"/>
        </w:rPr>
        <w:t>Ce par une peine « de cinq ans d'emprisonnement et de 75</w:t>
      </w:r>
      <w:r>
        <w:rPr>
          <w:lang w:eastAsia="fr-FR"/>
        </w:rPr>
        <w:t> </w:t>
      </w:r>
      <w:r w:rsidRPr="002E60F3">
        <w:rPr>
          <w:lang w:eastAsia="fr-FR"/>
        </w:rPr>
        <w:t>000</w:t>
      </w:r>
      <w:r>
        <w:rPr>
          <w:lang w:eastAsia="fr-FR"/>
        </w:rPr>
        <w:t> </w:t>
      </w:r>
      <w:r w:rsidRPr="002E60F3">
        <w:rPr>
          <w:lang w:eastAsia="fr-FR"/>
        </w:rPr>
        <w:t>€ d'ame</w:t>
      </w:r>
      <w:r w:rsidRPr="002E60F3">
        <w:rPr>
          <w:lang w:eastAsia="fr-FR"/>
        </w:rPr>
        <w:t>n</w:t>
      </w:r>
      <w:r w:rsidRPr="002E60F3">
        <w:rPr>
          <w:lang w:eastAsia="fr-FR"/>
        </w:rPr>
        <w:t>de », peine portée à « sept ans d'emprisonnement et 100</w:t>
      </w:r>
      <w:r>
        <w:rPr>
          <w:lang w:eastAsia="fr-FR"/>
        </w:rPr>
        <w:t> </w:t>
      </w:r>
      <w:r w:rsidRPr="002E60F3">
        <w:rPr>
          <w:lang w:eastAsia="fr-FR"/>
        </w:rPr>
        <w:t>000</w:t>
      </w:r>
      <w:r>
        <w:rPr>
          <w:lang w:eastAsia="fr-FR"/>
        </w:rPr>
        <w:t> </w:t>
      </w:r>
      <w:r w:rsidRPr="002E60F3">
        <w:rPr>
          <w:lang w:eastAsia="fr-FR"/>
        </w:rPr>
        <w:t>€ d'amende » « lorsque l'agression sexuelle devait être commise sur un mineur ».</w:t>
      </w:r>
    </w:p>
  </w:footnote>
  <w:footnote w:id="34">
    <w:p w14:paraId="56D358B6" w14:textId="77777777" w:rsidR="00F3214B" w:rsidRDefault="00F3214B" w:rsidP="00F3214B">
      <w:pPr>
        <w:pStyle w:val="Notedebasdepage"/>
      </w:pPr>
      <w:r>
        <w:rPr>
          <w:rStyle w:val="Appelnotedebasdep"/>
        </w:rPr>
        <w:footnoteRef/>
      </w:r>
      <w:r>
        <w:t xml:space="preserve"> </w:t>
      </w:r>
      <w:r>
        <w:tab/>
      </w:r>
      <w:r w:rsidRPr="002E60F3">
        <w:t>Article 222-31 du Code pénal ; article 3 de la loi n°2018-703 du 3 août 2018.</w:t>
      </w:r>
    </w:p>
  </w:footnote>
  <w:footnote w:id="35">
    <w:p w14:paraId="04FF1783" w14:textId="77777777" w:rsidR="00F3214B" w:rsidRDefault="00F3214B" w:rsidP="00F3214B">
      <w:pPr>
        <w:pStyle w:val="Notedebasdepage"/>
      </w:pPr>
      <w:r>
        <w:rPr>
          <w:rStyle w:val="Appelnotedebasdep"/>
        </w:rPr>
        <w:footnoteRef/>
      </w:r>
      <w:r>
        <w:t xml:space="preserve"> </w:t>
      </w:r>
      <w:r>
        <w:tab/>
      </w:r>
      <w:r w:rsidRPr="002E60F3">
        <w:t>Modifié par l’article 12 de la loi n°2021-478 du 21 avril 2021.</w:t>
      </w:r>
    </w:p>
  </w:footnote>
  <w:footnote w:id="36">
    <w:p w14:paraId="4935A474" w14:textId="77777777" w:rsidR="00F3214B" w:rsidRDefault="00F3214B" w:rsidP="00F3214B">
      <w:pPr>
        <w:pStyle w:val="Notedebasdepage"/>
      </w:pPr>
      <w:r>
        <w:rPr>
          <w:rStyle w:val="Appelnotedebasdep"/>
        </w:rPr>
        <w:footnoteRef/>
      </w:r>
      <w:r>
        <w:t xml:space="preserve"> </w:t>
      </w:r>
      <w:r>
        <w:tab/>
      </w:r>
      <w:r w:rsidRPr="002E60F3">
        <w:t>Modifié par les articles 11 et 13 de la loi n°2018-703 du 3 août 2018.</w:t>
      </w:r>
    </w:p>
  </w:footnote>
  <w:footnote w:id="37">
    <w:p w14:paraId="29F2C1E5" w14:textId="77777777" w:rsidR="00F3214B" w:rsidRDefault="00F3214B" w:rsidP="00F3214B">
      <w:pPr>
        <w:pStyle w:val="Notedebasdepage"/>
      </w:pPr>
      <w:r>
        <w:rPr>
          <w:rStyle w:val="Appelnotedebasdep"/>
        </w:rPr>
        <w:footnoteRef/>
      </w:r>
      <w:r>
        <w:t xml:space="preserve"> </w:t>
      </w:r>
      <w:r>
        <w:tab/>
      </w:r>
      <w:r w:rsidRPr="006D5FEC">
        <w:t>Le texte précise enfin qu’«</w:t>
      </w:r>
      <w:r>
        <w:t> </w:t>
      </w:r>
      <w:r w:rsidRPr="006D5FEC">
        <w:t>est assimilé au harcèlement sexuel le fait, même non répété, d'user de toute forme de pression grave dans le but réel ou app</w:t>
      </w:r>
      <w:r w:rsidRPr="006D5FEC">
        <w:t>a</w:t>
      </w:r>
      <w:r w:rsidRPr="006D5FEC">
        <w:t>rent d'obtenir un acte de nature sexuelle, que celui-ci soit recherché au profit de l'auteur des faits ou au profit d'un tiers ». In fine, l’article prévoit que les faits de harcèlement sexuels « sont punis de deux ans d'emprisonn</w:t>
      </w:r>
      <w:r w:rsidRPr="006D5FEC">
        <w:t>e</w:t>
      </w:r>
      <w:r w:rsidRPr="006D5FEC">
        <w:t>ment et de 30 000 € d'amende », peines « portées à trois ans d'emprisonn</w:t>
      </w:r>
      <w:r w:rsidRPr="006D5FEC">
        <w:t>e</w:t>
      </w:r>
      <w:r w:rsidRPr="006D5FEC">
        <w:t>ment et 45 000 € d'amende » lorsque ces faits sont accompagnés de circonstances a</w:t>
      </w:r>
      <w:r w:rsidRPr="006D5FEC">
        <w:t>g</w:t>
      </w:r>
      <w:r w:rsidRPr="006D5FEC">
        <w:t>gravantes, ce qui correspond aux hypothèses dans lesquelles les faits sont commis : « 1° Par une personne qui abuse de l'autorité que lui confèrent ses fonctions ; 2° Sur un mineur de quinze ans ; 3° Sur une personne dont la part</w:t>
      </w:r>
      <w:r w:rsidRPr="006D5FEC">
        <w:t>i</w:t>
      </w:r>
      <w:r w:rsidRPr="006D5FEC">
        <w:t>culière vulnérabilité, due à son âge, à une maladie, à une infirmité, à une déf</w:t>
      </w:r>
      <w:r w:rsidRPr="006D5FEC">
        <w:t>i</w:t>
      </w:r>
      <w:r w:rsidRPr="006D5FEC">
        <w:t>cience physique ou psychique ou à un état de grossesse, est apparente ou connue de leur auteur ; 4° Sur une personne dont la particulière vuln</w:t>
      </w:r>
      <w:r w:rsidRPr="006D5FEC">
        <w:t>é</w:t>
      </w:r>
      <w:r w:rsidRPr="006D5FEC">
        <w:t>rabilité ou dépendance résultant de la précarité de sa situation économique ou sociale est apparente ou connue de leur auteur ; 5° Par pl</w:t>
      </w:r>
      <w:r w:rsidRPr="006D5FEC">
        <w:t>u</w:t>
      </w:r>
      <w:r w:rsidRPr="006D5FEC">
        <w:t>sieurs personnes agissant en qualité d'auteur ou de complice ; 6° Par l'utilisation d'un service de commun</w:t>
      </w:r>
      <w:r w:rsidRPr="006D5FEC">
        <w:t>i</w:t>
      </w:r>
      <w:r w:rsidRPr="006D5FEC">
        <w:t>cation au public en ligne ou par le biais d'un support numérique ou électron</w:t>
      </w:r>
      <w:r w:rsidRPr="006D5FEC">
        <w:t>i</w:t>
      </w:r>
      <w:r w:rsidRPr="006D5FEC">
        <w:t>que ; 7° Alors qu'un mineur était présent et y a assisté ; 8° Par un ascendant ou par toute autre personne ayant sur la victime une autor</w:t>
      </w:r>
      <w:r w:rsidRPr="006D5FEC">
        <w:t>i</w:t>
      </w:r>
      <w:r w:rsidRPr="006D5FEC">
        <w:t>té de droit ou de fait ».</w:t>
      </w:r>
    </w:p>
  </w:footnote>
  <w:footnote w:id="38">
    <w:p w14:paraId="61053A2B" w14:textId="77777777" w:rsidR="00F3214B" w:rsidRDefault="00F3214B" w:rsidP="00F3214B">
      <w:pPr>
        <w:pStyle w:val="Notedebasdepage"/>
      </w:pPr>
      <w:r>
        <w:rPr>
          <w:rStyle w:val="Appelnotedebasdep"/>
        </w:rPr>
        <w:footnoteRef/>
      </w:r>
      <w:r>
        <w:t xml:space="preserve"> </w:t>
      </w:r>
      <w:r>
        <w:tab/>
      </w:r>
      <w:r w:rsidRPr="002E60F3">
        <w:t>Modifié par l’article 71 de la loi n°2019-222 du 23 mars 2019.</w:t>
      </w:r>
    </w:p>
  </w:footnote>
  <w:footnote w:id="39">
    <w:p w14:paraId="20956481" w14:textId="77777777" w:rsidR="00F3214B" w:rsidRDefault="00F3214B" w:rsidP="00F3214B">
      <w:pPr>
        <w:pStyle w:val="Notedebasdepage"/>
      </w:pPr>
      <w:r>
        <w:rPr>
          <w:rStyle w:val="Appelnotedebasdep"/>
        </w:rPr>
        <w:footnoteRef/>
      </w:r>
      <w:r>
        <w:t xml:space="preserve"> </w:t>
      </w:r>
      <w:r>
        <w:tab/>
      </w:r>
      <w:r w:rsidRPr="00807208">
        <w:t>«</w:t>
      </w:r>
      <w:r>
        <w:t> </w:t>
      </w:r>
      <w:r w:rsidRPr="00807208">
        <w:t>I.- Constitue un outrage sexiste le fait, hors les cas prévus aux articles 222-13,222-32,222-33 et 222-33-2-2, d'imposer à une personne tout propos ou comportement à connotation sexuelle ou sexiste qui soit porte atteinte à sa d</w:t>
      </w:r>
      <w:r w:rsidRPr="00807208">
        <w:t>i</w:t>
      </w:r>
      <w:r w:rsidRPr="00807208">
        <w:t>gnité en raison de son caractère dégradant ou humiliant, soit crée à son e</w:t>
      </w:r>
      <w:r w:rsidRPr="00807208">
        <w:t>n</w:t>
      </w:r>
      <w:r w:rsidRPr="00807208">
        <w:t>contre une situation intimidante, hostile ou offensante ».</w:t>
      </w:r>
    </w:p>
  </w:footnote>
  <w:footnote w:id="40">
    <w:p w14:paraId="1E3D7D63" w14:textId="77777777" w:rsidR="00F3214B" w:rsidRDefault="00F3214B" w:rsidP="00F3214B">
      <w:pPr>
        <w:pStyle w:val="Notedebasdepage"/>
      </w:pPr>
      <w:r>
        <w:rPr>
          <w:rStyle w:val="Appelnotedebasdep"/>
        </w:rPr>
        <w:footnoteRef/>
      </w:r>
      <w:r>
        <w:t xml:space="preserve"> </w:t>
      </w:r>
      <w:r>
        <w:tab/>
      </w:r>
      <w:r w:rsidRPr="002E60F3">
        <w:t>Article 222-13 du Code pénal.</w:t>
      </w:r>
    </w:p>
  </w:footnote>
  <w:footnote w:id="41">
    <w:p w14:paraId="37FFEE3F" w14:textId="77777777" w:rsidR="00F3214B" w:rsidRDefault="00F3214B" w:rsidP="00F3214B">
      <w:pPr>
        <w:pStyle w:val="Notedebasdepage"/>
      </w:pPr>
      <w:r>
        <w:rPr>
          <w:rStyle w:val="Appelnotedebasdep"/>
        </w:rPr>
        <w:footnoteRef/>
      </w:r>
      <w:r>
        <w:t xml:space="preserve"> </w:t>
      </w:r>
      <w:r>
        <w:tab/>
      </w:r>
      <w:r w:rsidRPr="002E60F3">
        <w:t>Article 222-32 du Code pénal.</w:t>
      </w:r>
    </w:p>
  </w:footnote>
  <w:footnote w:id="42">
    <w:p w14:paraId="7063B1F6" w14:textId="77777777" w:rsidR="00F3214B" w:rsidRDefault="00F3214B" w:rsidP="00F3214B">
      <w:pPr>
        <w:pStyle w:val="Notedebasdepage"/>
      </w:pPr>
      <w:r>
        <w:rPr>
          <w:rStyle w:val="Appelnotedebasdep"/>
        </w:rPr>
        <w:footnoteRef/>
      </w:r>
      <w:r>
        <w:t xml:space="preserve"> </w:t>
      </w:r>
      <w:r>
        <w:tab/>
      </w:r>
      <w:r w:rsidRPr="002E60F3">
        <w:t>Article 222-33 du Code pénal.</w:t>
      </w:r>
    </w:p>
  </w:footnote>
  <w:footnote w:id="43">
    <w:p w14:paraId="3BAF2AB8" w14:textId="77777777" w:rsidR="00F3214B" w:rsidRDefault="00F3214B" w:rsidP="00F3214B">
      <w:pPr>
        <w:pStyle w:val="Notedebasdepage"/>
      </w:pPr>
      <w:r>
        <w:rPr>
          <w:rStyle w:val="Appelnotedebasdep"/>
        </w:rPr>
        <w:footnoteRef/>
      </w:r>
      <w:r>
        <w:t xml:space="preserve"> </w:t>
      </w:r>
      <w:r>
        <w:tab/>
      </w:r>
      <w:r w:rsidRPr="002E60F3">
        <w:t>Article 222-33-2-2 du Code pénal.</w:t>
      </w:r>
    </w:p>
  </w:footnote>
  <w:footnote w:id="44">
    <w:p w14:paraId="4A06B487" w14:textId="77777777" w:rsidR="00F3214B" w:rsidRDefault="00F3214B" w:rsidP="00F3214B">
      <w:pPr>
        <w:pStyle w:val="Notedebasdepage"/>
      </w:pPr>
      <w:r>
        <w:rPr>
          <w:rStyle w:val="Appelnotedebasdep"/>
        </w:rPr>
        <w:footnoteRef/>
      </w:r>
      <w:r>
        <w:t xml:space="preserve"> </w:t>
      </w:r>
      <w:r>
        <w:tab/>
      </w:r>
      <w:r w:rsidRPr="002E60F3">
        <w:rPr>
          <w:lang w:eastAsia="fr-FR"/>
        </w:rPr>
        <w:t xml:space="preserve">Si le second alinéa du texte prévoit que la peine encourue est celle </w:t>
      </w:r>
      <w:r w:rsidRPr="002E60F3">
        <w:rPr>
          <w:i/>
          <w:lang w:eastAsia="fr-FR"/>
        </w:rPr>
        <w:t>« prévue pour les contraventions de la 4</w:t>
      </w:r>
      <w:r w:rsidRPr="002E60F3">
        <w:rPr>
          <w:i/>
          <w:vertAlign w:val="superscript"/>
          <w:lang w:eastAsia="fr-FR"/>
        </w:rPr>
        <w:t>e</w:t>
      </w:r>
      <w:r w:rsidRPr="002E60F3">
        <w:rPr>
          <w:i/>
          <w:lang w:eastAsia="fr-FR"/>
        </w:rPr>
        <w:t xml:space="preserve"> classe »</w:t>
      </w:r>
      <w:r w:rsidRPr="002E60F3">
        <w:rPr>
          <w:lang w:eastAsia="fr-FR"/>
        </w:rPr>
        <w:t xml:space="preserve"> avec possibilité de recourir à l’amende forfaitaire, y compris minorée (</w:t>
      </w:r>
      <w:r w:rsidRPr="002E60F3">
        <w:rPr>
          <w:i/>
        </w:rPr>
        <w:t>« </w:t>
      </w:r>
      <w:r w:rsidRPr="002E60F3">
        <w:rPr>
          <w:i/>
          <w:lang w:eastAsia="fr-FR"/>
        </w:rPr>
        <w:t>II.- L'outrage sexiste est puni de l'amende prévue pour les contraventions de la 4e classe. Cette contrave</w:t>
      </w:r>
      <w:r w:rsidRPr="002E60F3">
        <w:rPr>
          <w:i/>
          <w:lang w:eastAsia="fr-FR"/>
        </w:rPr>
        <w:t>n</w:t>
      </w:r>
      <w:r w:rsidRPr="002E60F3">
        <w:rPr>
          <w:i/>
          <w:lang w:eastAsia="fr-FR"/>
        </w:rPr>
        <w:t>tion peut faire l'objet des dispositions du code de procédure pénale relatives à l'amende forfaitaire, y compris celles concernant l'amende forfaitaire min</w:t>
      </w:r>
      <w:r w:rsidRPr="002E60F3">
        <w:rPr>
          <w:i/>
          <w:lang w:eastAsia="fr-FR"/>
        </w:rPr>
        <w:t>o</w:t>
      </w:r>
      <w:r w:rsidRPr="002E60F3">
        <w:rPr>
          <w:i/>
          <w:lang w:eastAsia="fr-FR"/>
        </w:rPr>
        <w:t>rée »)</w:t>
      </w:r>
      <w:r w:rsidRPr="002E60F3">
        <w:rPr>
          <w:lang w:eastAsia="fr-FR"/>
        </w:rPr>
        <w:t xml:space="preserve">, le troisième alinéa du même texte porte la peine au niveau </w:t>
      </w:r>
      <w:r w:rsidRPr="002E60F3">
        <w:rPr>
          <w:i/>
          <w:lang w:eastAsia="fr-FR"/>
        </w:rPr>
        <w:t>« de l'ame</w:t>
      </w:r>
      <w:r w:rsidRPr="002E60F3">
        <w:rPr>
          <w:i/>
          <w:lang w:eastAsia="fr-FR"/>
        </w:rPr>
        <w:t>n</w:t>
      </w:r>
      <w:r w:rsidRPr="002E60F3">
        <w:rPr>
          <w:i/>
          <w:lang w:eastAsia="fr-FR"/>
        </w:rPr>
        <w:t>de prévue pour les contraventions de la 5e classe »</w:t>
      </w:r>
      <w:r w:rsidRPr="002E60F3">
        <w:rPr>
          <w:lang w:eastAsia="fr-FR"/>
        </w:rPr>
        <w:t xml:space="preserve"> en cas de circon</w:t>
      </w:r>
      <w:r w:rsidRPr="002E60F3">
        <w:rPr>
          <w:lang w:eastAsia="fr-FR"/>
        </w:rPr>
        <w:t>s</w:t>
      </w:r>
      <w:r w:rsidRPr="002E60F3">
        <w:rPr>
          <w:lang w:eastAsia="fr-FR"/>
        </w:rPr>
        <w:t>tances aggravantes, celles-ci étant au nombre de sept (</w:t>
      </w:r>
      <w:r w:rsidRPr="002E60F3">
        <w:rPr>
          <w:i/>
        </w:rPr>
        <w:t>« </w:t>
      </w:r>
      <w:r w:rsidRPr="002E60F3">
        <w:rPr>
          <w:i/>
          <w:lang w:eastAsia="fr-FR"/>
        </w:rPr>
        <w:t>III.- L'outrage sexiste est p</w:t>
      </w:r>
      <w:r w:rsidRPr="002E60F3">
        <w:rPr>
          <w:i/>
          <w:lang w:eastAsia="fr-FR"/>
        </w:rPr>
        <w:t>u</w:t>
      </w:r>
      <w:r w:rsidRPr="002E60F3">
        <w:rPr>
          <w:i/>
          <w:lang w:eastAsia="fr-FR"/>
        </w:rPr>
        <w:t>ni de l'amende prévue pour les contraventions de la 5e classe lor</w:t>
      </w:r>
      <w:r w:rsidRPr="002E60F3">
        <w:rPr>
          <w:i/>
          <w:lang w:eastAsia="fr-FR"/>
        </w:rPr>
        <w:t>s</w:t>
      </w:r>
      <w:r w:rsidRPr="002E60F3">
        <w:rPr>
          <w:i/>
          <w:lang w:eastAsia="fr-FR"/>
        </w:rPr>
        <w:t>qu'il est commis : 1° Par une personne qui abuse de l'autorité que lui conf</w:t>
      </w:r>
      <w:r w:rsidRPr="002E60F3">
        <w:rPr>
          <w:i/>
          <w:lang w:eastAsia="fr-FR"/>
        </w:rPr>
        <w:t>è</w:t>
      </w:r>
      <w:r w:rsidRPr="002E60F3">
        <w:rPr>
          <w:i/>
          <w:lang w:eastAsia="fr-FR"/>
        </w:rPr>
        <w:t>rent ses fonctions</w:t>
      </w:r>
      <w:r>
        <w:rPr>
          <w:i/>
          <w:lang w:eastAsia="fr-FR"/>
        </w:rPr>
        <w:t> </w:t>
      </w:r>
      <w:r w:rsidRPr="002E60F3">
        <w:rPr>
          <w:i/>
          <w:lang w:eastAsia="fr-FR"/>
        </w:rPr>
        <w:t>; 2° Sur un mineur de quinze ans ; 3° Sur une personne dont la pa</w:t>
      </w:r>
      <w:r w:rsidRPr="002E60F3">
        <w:rPr>
          <w:i/>
          <w:lang w:eastAsia="fr-FR"/>
        </w:rPr>
        <w:t>r</w:t>
      </w:r>
      <w:r w:rsidRPr="002E60F3">
        <w:rPr>
          <w:i/>
          <w:lang w:eastAsia="fr-FR"/>
        </w:rPr>
        <w:t>ticulière vulnérabilité, due à son âge, à une maladie, à une infirmité, à une d</w:t>
      </w:r>
      <w:r w:rsidRPr="002E60F3">
        <w:rPr>
          <w:i/>
          <w:lang w:eastAsia="fr-FR"/>
        </w:rPr>
        <w:t>é</w:t>
      </w:r>
      <w:r w:rsidRPr="002E60F3">
        <w:rPr>
          <w:i/>
          <w:lang w:eastAsia="fr-FR"/>
        </w:rPr>
        <w:t>ficience physique ou psychique ou à un état de grossesse, est apparente ou connue de son auteur</w:t>
      </w:r>
      <w:r>
        <w:rPr>
          <w:i/>
          <w:lang w:eastAsia="fr-FR"/>
        </w:rPr>
        <w:t> </w:t>
      </w:r>
      <w:r w:rsidRPr="002E60F3">
        <w:rPr>
          <w:i/>
          <w:lang w:eastAsia="fr-FR"/>
        </w:rPr>
        <w:t>; 4° Sur une personne dont la particuli</w:t>
      </w:r>
      <w:r w:rsidRPr="002E60F3">
        <w:rPr>
          <w:i/>
          <w:lang w:eastAsia="fr-FR"/>
        </w:rPr>
        <w:t>è</w:t>
      </w:r>
      <w:r w:rsidRPr="002E60F3">
        <w:rPr>
          <w:i/>
          <w:lang w:eastAsia="fr-FR"/>
        </w:rPr>
        <w:t>re vulnérabilité ou dépendance résultant de la précarité de sa situation éc</w:t>
      </w:r>
      <w:r w:rsidRPr="002E60F3">
        <w:rPr>
          <w:i/>
          <w:lang w:eastAsia="fr-FR"/>
        </w:rPr>
        <w:t>o</w:t>
      </w:r>
      <w:r w:rsidRPr="002E60F3">
        <w:rPr>
          <w:i/>
          <w:lang w:eastAsia="fr-FR"/>
        </w:rPr>
        <w:t>nomique ou sociale est apparente ou connue de son auteur</w:t>
      </w:r>
      <w:r>
        <w:rPr>
          <w:i/>
          <w:lang w:eastAsia="fr-FR"/>
        </w:rPr>
        <w:t> </w:t>
      </w:r>
      <w:r w:rsidRPr="002E60F3">
        <w:rPr>
          <w:i/>
          <w:lang w:eastAsia="fr-FR"/>
        </w:rPr>
        <w:t>; 5° Par plusieurs personnes agi</w:t>
      </w:r>
      <w:r w:rsidRPr="002E60F3">
        <w:rPr>
          <w:i/>
          <w:lang w:eastAsia="fr-FR"/>
        </w:rPr>
        <w:t>s</w:t>
      </w:r>
      <w:r w:rsidRPr="002E60F3">
        <w:rPr>
          <w:i/>
          <w:lang w:eastAsia="fr-FR"/>
        </w:rPr>
        <w:t>sant en qualité d'auteur ou de complice</w:t>
      </w:r>
      <w:r>
        <w:rPr>
          <w:i/>
          <w:lang w:eastAsia="fr-FR"/>
        </w:rPr>
        <w:t> </w:t>
      </w:r>
      <w:r w:rsidRPr="002E60F3">
        <w:rPr>
          <w:i/>
          <w:lang w:eastAsia="fr-FR"/>
        </w:rPr>
        <w:t>; 6° Dans un véhicule affecté au transport collectif de voyageurs ou dans un lieu destiné à l'accès à un moyen de tran</w:t>
      </w:r>
      <w:r w:rsidRPr="002E60F3">
        <w:rPr>
          <w:i/>
          <w:lang w:eastAsia="fr-FR"/>
        </w:rPr>
        <w:t>s</w:t>
      </w:r>
      <w:r w:rsidRPr="002E60F3">
        <w:rPr>
          <w:i/>
          <w:lang w:eastAsia="fr-FR"/>
        </w:rPr>
        <w:t>port collectif de voy</w:t>
      </w:r>
      <w:r w:rsidRPr="002E60F3">
        <w:rPr>
          <w:i/>
          <w:lang w:eastAsia="fr-FR"/>
        </w:rPr>
        <w:t>a</w:t>
      </w:r>
      <w:r w:rsidRPr="002E60F3">
        <w:rPr>
          <w:i/>
          <w:lang w:eastAsia="fr-FR"/>
        </w:rPr>
        <w:t>geurs</w:t>
      </w:r>
      <w:r>
        <w:rPr>
          <w:i/>
          <w:lang w:eastAsia="fr-FR"/>
        </w:rPr>
        <w:t> </w:t>
      </w:r>
      <w:r w:rsidRPr="002E60F3">
        <w:rPr>
          <w:i/>
          <w:lang w:eastAsia="fr-FR"/>
        </w:rPr>
        <w:t>; 7° En raison de l'orientation sexuelle, vraie ou supposée, de la victime »).</w:t>
      </w:r>
    </w:p>
  </w:footnote>
  <w:footnote w:id="45">
    <w:p w14:paraId="7E487728" w14:textId="77777777" w:rsidR="00F3214B" w:rsidRDefault="00F3214B" w:rsidP="00F3214B">
      <w:pPr>
        <w:pStyle w:val="Notedebasdepage"/>
      </w:pPr>
      <w:r>
        <w:rPr>
          <w:rStyle w:val="Appelnotedebasdep"/>
        </w:rPr>
        <w:footnoteRef/>
      </w:r>
      <w:r>
        <w:t xml:space="preserve"> </w:t>
      </w:r>
      <w:r>
        <w:tab/>
      </w:r>
      <w:r w:rsidRPr="002E60F3">
        <w:t>Cinquième des circonstances aggravantes visées par la liste.</w:t>
      </w:r>
    </w:p>
  </w:footnote>
  <w:footnote w:id="46">
    <w:p w14:paraId="3D102AC0" w14:textId="77777777" w:rsidR="00F3214B" w:rsidRDefault="00F3214B" w:rsidP="00F3214B">
      <w:pPr>
        <w:pStyle w:val="Notedebasdepage"/>
      </w:pPr>
      <w:r>
        <w:rPr>
          <w:rStyle w:val="Appelnotedebasdep"/>
        </w:rPr>
        <w:footnoteRef/>
      </w:r>
      <w:r>
        <w:t xml:space="preserve"> </w:t>
      </w:r>
      <w:r>
        <w:tab/>
      </w:r>
      <w:r w:rsidRPr="002E60F3">
        <w:rPr>
          <w:lang w:eastAsia="fr-FR"/>
        </w:rPr>
        <w:t>L’article disposant que l’infraction « est également constituée : 1° Lorsque ces propos ou comportements sont imposés à une même victime par plusieurs pe</w:t>
      </w:r>
      <w:r w:rsidRPr="002E60F3">
        <w:rPr>
          <w:lang w:eastAsia="fr-FR"/>
        </w:rPr>
        <w:t>r</w:t>
      </w:r>
      <w:r w:rsidRPr="002E60F3">
        <w:rPr>
          <w:lang w:eastAsia="fr-FR"/>
        </w:rPr>
        <w:t>sonnes, de manière concertée ou à l'instigation de l'une d'elles, alors m</w:t>
      </w:r>
      <w:r w:rsidRPr="002E60F3">
        <w:rPr>
          <w:lang w:eastAsia="fr-FR"/>
        </w:rPr>
        <w:t>ê</w:t>
      </w:r>
      <w:r w:rsidRPr="002E60F3">
        <w:rPr>
          <w:lang w:eastAsia="fr-FR"/>
        </w:rPr>
        <w:t>me que chacune de ces personnes n'a pas agi de façon répétée » et que « 2° Lor</w:t>
      </w:r>
      <w:r w:rsidRPr="002E60F3">
        <w:rPr>
          <w:lang w:eastAsia="fr-FR"/>
        </w:rPr>
        <w:t>s</w:t>
      </w:r>
      <w:r w:rsidRPr="002E60F3">
        <w:rPr>
          <w:lang w:eastAsia="fr-FR"/>
        </w:rPr>
        <w:t>que ces propos ou comportements sont imposés à une même victime, succe</w:t>
      </w:r>
      <w:r w:rsidRPr="002E60F3">
        <w:rPr>
          <w:lang w:eastAsia="fr-FR"/>
        </w:rPr>
        <w:t>s</w:t>
      </w:r>
      <w:r w:rsidRPr="002E60F3">
        <w:rPr>
          <w:lang w:eastAsia="fr-FR"/>
        </w:rPr>
        <w:t>sivement, par plusieurs personnes qui, même en l'absence de concertation, s</w:t>
      </w:r>
      <w:r w:rsidRPr="002E60F3">
        <w:rPr>
          <w:lang w:eastAsia="fr-FR"/>
        </w:rPr>
        <w:t>a</w:t>
      </w:r>
      <w:r w:rsidRPr="002E60F3">
        <w:rPr>
          <w:lang w:eastAsia="fr-FR"/>
        </w:rPr>
        <w:t>vent que ces propos ou comportements caractérisent une répét</w:t>
      </w:r>
      <w:r w:rsidRPr="002E60F3">
        <w:rPr>
          <w:lang w:eastAsia="fr-FR"/>
        </w:rPr>
        <w:t>i</w:t>
      </w:r>
      <w:r w:rsidRPr="002E60F3">
        <w:rPr>
          <w:lang w:eastAsia="fr-FR"/>
        </w:rPr>
        <w:t>tion ».</w:t>
      </w:r>
    </w:p>
  </w:footnote>
  <w:footnote w:id="47">
    <w:p w14:paraId="3044CCE9" w14:textId="77777777" w:rsidR="00F3214B" w:rsidRDefault="00F3214B" w:rsidP="00F3214B">
      <w:pPr>
        <w:pStyle w:val="Notedebasdepage"/>
      </w:pPr>
      <w:r>
        <w:rPr>
          <w:rStyle w:val="Appelnotedebasdep"/>
        </w:rPr>
        <w:footnoteRef/>
      </w:r>
      <w:r>
        <w:t xml:space="preserve"> </w:t>
      </w:r>
      <w:r>
        <w:tab/>
      </w:r>
      <w:r w:rsidRPr="002E60F3">
        <w:rPr>
          <w:lang w:eastAsia="fr-FR"/>
        </w:rPr>
        <w:t>Limitée par le fait qu’elle peut être dénoncée tant pas l’avocat de la victime que par c</w:t>
      </w:r>
      <w:r w:rsidRPr="002E60F3">
        <w:rPr>
          <w:lang w:eastAsia="fr-FR"/>
        </w:rPr>
        <w:t>e</w:t>
      </w:r>
      <w:r w:rsidRPr="002E60F3">
        <w:rPr>
          <w:lang w:eastAsia="fr-FR"/>
        </w:rPr>
        <w:t>lui de l’auteur des faits.</w:t>
      </w:r>
    </w:p>
  </w:footnote>
  <w:footnote w:id="48">
    <w:p w14:paraId="5A75D338" w14:textId="77777777" w:rsidR="00F3214B" w:rsidRDefault="00F3214B" w:rsidP="00F3214B">
      <w:pPr>
        <w:pStyle w:val="Notedebasdepage"/>
      </w:pPr>
      <w:r>
        <w:rPr>
          <w:rStyle w:val="Appelnotedebasdep"/>
        </w:rPr>
        <w:footnoteRef/>
      </w:r>
      <w:r>
        <w:t xml:space="preserve"> </w:t>
      </w:r>
      <w:r>
        <w:tab/>
      </w:r>
      <w:r w:rsidRPr="002E60F3">
        <w:t>Au lieu de le renvoyer devant la Cour d’assise pour crime.</w:t>
      </w:r>
    </w:p>
  </w:footnote>
  <w:footnote w:id="49">
    <w:p w14:paraId="7534FD9B" w14:textId="77777777" w:rsidR="00F3214B" w:rsidRDefault="00F3214B" w:rsidP="00F3214B">
      <w:pPr>
        <w:pStyle w:val="Notedebasdepage"/>
      </w:pPr>
      <w:r>
        <w:rPr>
          <w:rStyle w:val="Appelnotedebasdep"/>
        </w:rPr>
        <w:footnoteRef/>
      </w:r>
      <w:r>
        <w:t xml:space="preserve"> </w:t>
      </w:r>
      <w:r>
        <w:tab/>
      </w:r>
      <w:r w:rsidRPr="002E60F3">
        <w:t>Oralement et de façon informelle bien évidemment, car aucun magistrat ne prendrait le risque de reconnaître par écrit qu’il a sciemment violé la loi.</w:t>
      </w:r>
    </w:p>
  </w:footnote>
  <w:footnote w:id="50">
    <w:p w14:paraId="0CF22397" w14:textId="77777777" w:rsidR="00F3214B" w:rsidRDefault="00F3214B" w:rsidP="00F3214B">
      <w:pPr>
        <w:pStyle w:val="Notedebasdepage"/>
      </w:pPr>
      <w:r>
        <w:rPr>
          <w:rStyle w:val="Appelnotedebasdep"/>
        </w:rPr>
        <w:footnoteRef/>
      </w:r>
      <w:r>
        <w:t xml:space="preserve"> </w:t>
      </w:r>
      <w:r>
        <w:tab/>
      </w:r>
      <w:r w:rsidRPr="002E60F3">
        <w:t xml:space="preserve">D’où la création du néologisme </w:t>
      </w:r>
      <w:r w:rsidRPr="002E60F3">
        <w:rPr>
          <w:i/>
        </w:rPr>
        <w:t>« correctionnalisation ».</w:t>
      </w:r>
    </w:p>
  </w:footnote>
  <w:footnote w:id="51">
    <w:p w14:paraId="404C0A22" w14:textId="77777777" w:rsidR="00F3214B" w:rsidRDefault="00F3214B" w:rsidP="00F3214B">
      <w:pPr>
        <w:pStyle w:val="Notedebasdepage"/>
      </w:pPr>
      <w:r>
        <w:rPr>
          <w:rStyle w:val="Appelnotedebasdep"/>
        </w:rPr>
        <w:footnoteRef/>
      </w:r>
      <w:r>
        <w:t xml:space="preserve"> </w:t>
      </w:r>
      <w:r>
        <w:tab/>
      </w:r>
      <w:r w:rsidRPr="002E60F3">
        <w:t>Soit le Président de la cour d’assise et ses deux assesseurs.</w:t>
      </w:r>
    </w:p>
  </w:footnote>
  <w:footnote w:id="52">
    <w:p w14:paraId="402D8F9F" w14:textId="77777777" w:rsidR="00F3214B" w:rsidRDefault="00F3214B" w:rsidP="00F3214B">
      <w:pPr>
        <w:pStyle w:val="Notedebasdepage"/>
      </w:pPr>
      <w:r>
        <w:rPr>
          <w:rStyle w:val="Appelnotedebasdep"/>
        </w:rPr>
        <w:footnoteRef/>
      </w:r>
      <w:r>
        <w:t xml:space="preserve"> </w:t>
      </w:r>
      <w:r>
        <w:tab/>
      </w:r>
      <w:r w:rsidRPr="002E60F3">
        <w:t>Tirés au sort sur les listes électorales.</w:t>
      </w:r>
    </w:p>
  </w:footnote>
  <w:footnote w:id="53">
    <w:p w14:paraId="2EEB955D" w14:textId="77777777" w:rsidR="00F3214B" w:rsidRDefault="00F3214B" w:rsidP="00F3214B">
      <w:pPr>
        <w:pStyle w:val="Notedebasdepage"/>
      </w:pPr>
      <w:r>
        <w:rPr>
          <w:rStyle w:val="Appelnotedebasdep"/>
        </w:rPr>
        <w:footnoteRef/>
      </w:r>
      <w:r>
        <w:t xml:space="preserve"> </w:t>
      </w:r>
      <w:r>
        <w:tab/>
      </w:r>
      <w:r w:rsidRPr="002E60F3">
        <w:t>Les magistrats professionnels fixant le quantum (la quantité) de la peine.</w:t>
      </w:r>
    </w:p>
  </w:footnote>
  <w:footnote w:id="54">
    <w:p w14:paraId="1ECDD905" w14:textId="77777777" w:rsidR="00F3214B" w:rsidRDefault="00F3214B" w:rsidP="00F3214B">
      <w:pPr>
        <w:pStyle w:val="Notedebasdepage"/>
      </w:pPr>
      <w:r>
        <w:rPr>
          <w:rStyle w:val="Appelnotedebasdep"/>
        </w:rPr>
        <w:footnoteRef/>
      </w:r>
      <w:r>
        <w:t xml:space="preserve"> </w:t>
      </w:r>
      <w:r>
        <w:tab/>
      </w:r>
      <w:r w:rsidRPr="002E60F3">
        <w:t xml:space="preserve">Ce qui témoigne du fait que ces magistrats sont conscients de l’existence d’une </w:t>
      </w:r>
      <w:r w:rsidRPr="002E60F3">
        <w:rPr>
          <w:i/>
        </w:rPr>
        <w:t>« culture du viol »</w:t>
      </w:r>
      <w:r w:rsidRPr="002E60F3">
        <w:t xml:space="preserve"> dans la société.</w:t>
      </w:r>
    </w:p>
  </w:footnote>
  <w:footnote w:id="55">
    <w:p w14:paraId="5A0B4C30" w14:textId="77777777" w:rsidR="00F3214B" w:rsidRDefault="00F3214B" w:rsidP="00F3214B">
      <w:pPr>
        <w:pStyle w:val="Notedebasdepage"/>
      </w:pPr>
      <w:r>
        <w:rPr>
          <w:rStyle w:val="Appelnotedebasdep"/>
        </w:rPr>
        <w:footnoteRef/>
      </w:r>
      <w:r>
        <w:t xml:space="preserve"> </w:t>
      </w:r>
      <w:r>
        <w:tab/>
      </w:r>
      <w:r w:rsidRPr="002E60F3">
        <w:rPr>
          <w:lang w:eastAsia="fr-FR"/>
        </w:rPr>
        <w:t>Les magistrats ajoutent ordinairement ne pratiquer la correctionnalisation que dans les cas où la preuve du viol est techniquement particulièrement di</w:t>
      </w:r>
      <w:r w:rsidRPr="002E60F3">
        <w:rPr>
          <w:lang w:eastAsia="fr-FR"/>
        </w:rPr>
        <w:t>f</w:t>
      </w:r>
      <w:r w:rsidRPr="002E60F3">
        <w:rPr>
          <w:lang w:eastAsia="fr-FR"/>
        </w:rPr>
        <w:t>ficile à apporter faute de con</w:t>
      </w:r>
      <w:r w:rsidRPr="002E60F3">
        <w:rPr>
          <w:lang w:eastAsia="fr-FR"/>
        </w:rPr>
        <w:t>s</w:t>
      </w:r>
      <w:r w:rsidRPr="002E60F3">
        <w:rPr>
          <w:lang w:eastAsia="fr-FR"/>
        </w:rPr>
        <w:t xml:space="preserve">tatations matérielles, telles que, par exemple, un examen médical révélant des lésions. </w:t>
      </w:r>
      <w:r w:rsidRPr="002E60F3">
        <w:t>Ce qui est, par exemple, le cas pour des pénétr</w:t>
      </w:r>
      <w:r w:rsidRPr="002E60F3">
        <w:t>a</w:t>
      </w:r>
      <w:r w:rsidRPr="002E60F3">
        <w:t>tions digitales de la longueur d’une phalange.</w:t>
      </w:r>
    </w:p>
  </w:footnote>
  <w:footnote w:id="56">
    <w:p w14:paraId="7E76B031" w14:textId="77777777" w:rsidR="00F3214B" w:rsidRDefault="00F3214B" w:rsidP="00F3214B">
      <w:pPr>
        <w:pStyle w:val="Notedebasdepage"/>
      </w:pPr>
      <w:r>
        <w:rPr>
          <w:rStyle w:val="Appelnotedebasdep"/>
        </w:rPr>
        <w:footnoteRef/>
      </w:r>
      <w:r>
        <w:t xml:space="preserve"> </w:t>
      </w:r>
      <w:r>
        <w:tab/>
      </w:r>
      <w:r w:rsidRPr="002E60F3">
        <w:rPr>
          <w:lang w:eastAsia="fr-FR"/>
        </w:rPr>
        <w:t xml:space="preserve">Ou, du point de vue de ses détracteurs, un </w:t>
      </w:r>
      <w:r w:rsidRPr="002E60F3">
        <w:rPr>
          <w:u w:val="single"/>
          <w:lang w:eastAsia="fr-FR"/>
        </w:rPr>
        <w:t>risque</w:t>
      </w:r>
      <w:r w:rsidRPr="002E60F3">
        <w:rPr>
          <w:lang w:eastAsia="fr-FR"/>
        </w:rPr>
        <w:t xml:space="preserve"> de contraventionnalis</w:t>
      </w:r>
      <w:r w:rsidRPr="002E60F3">
        <w:rPr>
          <w:lang w:eastAsia="fr-FR"/>
        </w:rPr>
        <w:t>a</w:t>
      </w:r>
      <w:r w:rsidRPr="002E60F3">
        <w:rPr>
          <w:lang w:eastAsia="fr-FR"/>
        </w:rPr>
        <w:t>tion.</w:t>
      </w:r>
    </w:p>
  </w:footnote>
  <w:footnote w:id="57">
    <w:p w14:paraId="2A523114" w14:textId="77777777" w:rsidR="00F3214B" w:rsidRDefault="00F3214B" w:rsidP="00F3214B">
      <w:pPr>
        <w:pStyle w:val="Notedebasdepage"/>
      </w:pPr>
      <w:r>
        <w:rPr>
          <w:rStyle w:val="Appelnotedebasdep"/>
        </w:rPr>
        <w:footnoteRef/>
      </w:r>
      <w:r>
        <w:t xml:space="preserve"> </w:t>
      </w:r>
      <w:r>
        <w:tab/>
      </w:r>
      <w:r w:rsidRPr="002E60F3">
        <w:t>Procédure simplifiée par laquelle le policier ou le gendarme, ou tout autre agent public habilité à cette fin, délivre au contrevenant un avis lui indiquant le montant de l’amende infl</w:t>
      </w:r>
      <w:r w:rsidRPr="002E60F3">
        <w:t>i</w:t>
      </w:r>
      <w:r w:rsidRPr="002E60F3">
        <w:t>gée, ainsi que la nature et les circonstances de l’infraction, le délai pour payer ou pour conte</w:t>
      </w:r>
      <w:r w:rsidRPr="002E60F3">
        <w:t>s</w:t>
      </w:r>
      <w:r w:rsidRPr="002E60F3">
        <w:t>ter, et les voies de recours. Le paiement de l’amende dans les délais entraîne le classement sans suite de l’affaire. Il n’y a ni poursuites judiciaires, ni procès.</w:t>
      </w:r>
    </w:p>
  </w:footnote>
  <w:footnote w:id="58">
    <w:p w14:paraId="2E3187AF" w14:textId="77777777" w:rsidR="00F3214B" w:rsidRDefault="00F3214B" w:rsidP="00F3214B">
      <w:pPr>
        <w:pStyle w:val="Notedebasdepage"/>
      </w:pPr>
      <w:r>
        <w:rPr>
          <w:rStyle w:val="Appelnotedebasdep"/>
        </w:rPr>
        <w:footnoteRef/>
      </w:r>
      <w:r>
        <w:t xml:space="preserve"> </w:t>
      </w:r>
      <w:r>
        <w:tab/>
      </w:r>
      <w:r w:rsidRPr="002E60F3">
        <w:t>Le caractère répétitif des propos ou agissements répréhensibles pouvant ég</w:t>
      </w:r>
      <w:r w:rsidRPr="002E60F3">
        <w:t>a</w:t>
      </w:r>
      <w:r w:rsidRPr="002E60F3">
        <w:t>lement être ignorés.</w:t>
      </w:r>
    </w:p>
  </w:footnote>
  <w:footnote w:id="59">
    <w:p w14:paraId="3D2F1FFD" w14:textId="77777777" w:rsidR="00F3214B" w:rsidRDefault="00F3214B" w:rsidP="00F3214B">
      <w:pPr>
        <w:pStyle w:val="Notedebasdepage"/>
      </w:pPr>
      <w:r>
        <w:rPr>
          <w:rStyle w:val="Appelnotedebasdep"/>
        </w:rPr>
        <w:footnoteRef/>
      </w:r>
      <w:r>
        <w:t xml:space="preserve"> </w:t>
      </w:r>
      <w:r>
        <w:tab/>
      </w:r>
      <w:r w:rsidRPr="002E60F3">
        <w:t>La dépêche de l’agence ayant largement été reprise par les grands médias t</w:t>
      </w:r>
      <w:r w:rsidRPr="002E60F3">
        <w:t>é</w:t>
      </w:r>
      <w:r w:rsidRPr="002E60F3">
        <w:t xml:space="preserve">lévisuels, ce qui lui a assuré une très large audience : </w:t>
      </w:r>
      <w:r w:rsidRPr="002E60F3">
        <w:rPr>
          <w:i/>
        </w:rPr>
        <w:t>Loi sur le harcèl</w:t>
      </w:r>
      <w:r w:rsidRPr="002E60F3">
        <w:rPr>
          <w:i/>
        </w:rPr>
        <w:t>e</w:t>
      </w:r>
      <w:r w:rsidRPr="002E60F3">
        <w:rPr>
          <w:i/>
        </w:rPr>
        <w:t>ment de rue : un an après, quel bilan ?,</w:t>
      </w:r>
      <w:r w:rsidRPr="002E60F3">
        <w:t xml:space="preserve"> Manon Tossat avec AFP, BFM TV, 4 août 2019, 13 heures 10 ; </w:t>
      </w:r>
      <w:r w:rsidRPr="002E60F3">
        <w:rPr>
          <w:i/>
        </w:rPr>
        <w:t>Loi contre le harcèlement de rue : plus de 700 contrave</w:t>
      </w:r>
      <w:r w:rsidRPr="002E60F3">
        <w:rPr>
          <w:i/>
        </w:rPr>
        <w:t>n</w:t>
      </w:r>
      <w:r w:rsidRPr="002E60F3">
        <w:rPr>
          <w:i/>
        </w:rPr>
        <w:t>tions ont été dressées en un an,</w:t>
      </w:r>
      <w:r w:rsidRPr="002E60F3">
        <w:t xml:space="preserve"> France info avec AFP, 6 août 2019, 0 heure 2 ; </w:t>
      </w:r>
      <w:r w:rsidRPr="002E60F3">
        <w:rPr>
          <w:i/>
        </w:rPr>
        <w:t>Etc.</w:t>
      </w:r>
    </w:p>
  </w:footnote>
  <w:footnote w:id="60">
    <w:p w14:paraId="53EAF777" w14:textId="77777777" w:rsidR="00F3214B" w:rsidRDefault="00F3214B" w:rsidP="00F3214B">
      <w:pPr>
        <w:pStyle w:val="Notedebasdepage"/>
      </w:pPr>
      <w:r>
        <w:rPr>
          <w:rStyle w:val="Appelnotedebasdep"/>
        </w:rPr>
        <w:footnoteRef/>
      </w:r>
      <w:r>
        <w:t xml:space="preserve"> </w:t>
      </w:r>
      <w:r>
        <w:tab/>
      </w:r>
      <w:r w:rsidRPr="002E60F3">
        <w:t>Environ 15 000 selon elle.</w:t>
      </w:r>
    </w:p>
  </w:footnote>
  <w:footnote w:id="61">
    <w:p w14:paraId="78245FCD" w14:textId="77777777" w:rsidR="00F3214B" w:rsidRDefault="00F3214B" w:rsidP="00F3214B">
      <w:pPr>
        <w:pStyle w:val="Notedebasdepage"/>
      </w:pPr>
      <w:r>
        <w:rPr>
          <w:rStyle w:val="Appelnotedebasdep"/>
        </w:rPr>
        <w:footnoteRef/>
      </w:r>
      <w:r>
        <w:t xml:space="preserve"> </w:t>
      </w:r>
      <w:r>
        <w:tab/>
      </w:r>
      <w:r w:rsidRPr="002E60F3">
        <w:t>Bien qu’ils demandent à être contrôlés et quantifiés scientifiquement pour s’assurer de leur véracité et prendre la mesure du phénomène, ces témoign</w:t>
      </w:r>
      <w:r w:rsidRPr="002E60F3">
        <w:t>a</w:t>
      </w:r>
      <w:r w:rsidRPr="002E60F3">
        <w:t>ges interpellent sur la question de la formation des policiers et gendarmes à l’accueil des victimes de ce type d’infraction, ces agents n’ayant pas, en tant que personnes, de raison d’être plus à l’abri que le reste de la s</w:t>
      </w:r>
      <w:r w:rsidRPr="002E60F3">
        <w:t>o</w:t>
      </w:r>
      <w:r w:rsidRPr="002E60F3">
        <w:t xml:space="preserve">ciété de l’influence délétère de la </w:t>
      </w:r>
      <w:r w:rsidRPr="002E60F3">
        <w:rPr>
          <w:i/>
        </w:rPr>
        <w:t xml:space="preserve">« culture du viol » </w:t>
      </w:r>
      <w:r w:rsidRPr="002E60F3">
        <w:t>sur les mentalités.</w:t>
      </w:r>
    </w:p>
  </w:footnote>
  <w:footnote w:id="62">
    <w:p w14:paraId="267C37EE" w14:textId="77777777" w:rsidR="00F3214B" w:rsidRDefault="00F3214B" w:rsidP="00F3214B">
      <w:pPr>
        <w:pStyle w:val="Notedebasdepage"/>
      </w:pPr>
      <w:r>
        <w:rPr>
          <w:rStyle w:val="Appelnotedebasdep"/>
        </w:rPr>
        <w:footnoteRef/>
      </w:r>
      <w:r>
        <w:t xml:space="preserve"> </w:t>
      </w:r>
      <w:r>
        <w:tab/>
      </w:r>
      <w:r w:rsidRPr="002E60F3">
        <w:t xml:space="preserve">ChecksNews est un service de </w:t>
      </w:r>
      <w:r w:rsidRPr="002E60F3">
        <w:rPr>
          <w:i/>
        </w:rPr>
        <w:t>« fack-cheking à la demande »</w:t>
      </w:r>
      <w:r w:rsidRPr="002E60F3">
        <w:t xml:space="preserve"> créé par le jou</w:t>
      </w:r>
      <w:r w:rsidRPr="002E60F3">
        <w:t>r</w:t>
      </w:r>
      <w:r w:rsidRPr="002E60F3">
        <w:t xml:space="preserve">nal </w:t>
      </w:r>
      <w:r w:rsidRPr="002E60F3">
        <w:rPr>
          <w:i/>
        </w:rPr>
        <w:t>Libération,</w:t>
      </w:r>
      <w:r w:rsidRPr="002E60F3">
        <w:t xml:space="preserve"> ce qui signifie que les rédacteurs du site y répondent aux que</w:t>
      </w:r>
      <w:r w:rsidRPr="002E60F3">
        <w:t>s</w:t>
      </w:r>
      <w:r w:rsidRPr="002E60F3">
        <w:t>tions posées par les internautes ; Pour en savoir plus,</w:t>
      </w:r>
      <w:r w:rsidRPr="002E60F3">
        <w:rPr>
          <w:i/>
        </w:rPr>
        <w:t xml:space="preserve"> Fack-cheking à la d</w:t>
      </w:r>
      <w:r w:rsidRPr="002E60F3">
        <w:rPr>
          <w:i/>
        </w:rPr>
        <w:t>e</w:t>
      </w:r>
      <w:r w:rsidRPr="002E60F3">
        <w:rPr>
          <w:i/>
        </w:rPr>
        <w:t>mande, les pratiques de fack-cheking journalistique participatif, entre contraintes et intérêts,</w:t>
      </w:r>
      <w:r w:rsidRPr="002E60F3">
        <w:t xml:space="preserve"> Jérémie Nicey, Interfaces numériques, n°2, 2020, v</w:t>
      </w:r>
      <w:r w:rsidRPr="002E60F3">
        <w:t>o</w:t>
      </w:r>
      <w:r w:rsidRPr="002E60F3">
        <w:t>lume 9.</w:t>
      </w:r>
    </w:p>
  </w:footnote>
  <w:footnote w:id="63">
    <w:p w14:paraId="067A7411" w14:textId="77777777" w:rsidR="00F3214B" w:rsidRDefault="00F3214B" w:rsidP="00F3214B">
      <w:pPr>
        <w:pStyle w:val="Notedebasdepage"/>
      </w:pPr>
      <w:r>
        <w:rPr>
          <w:rStyle w:val="Appelnotedebasdep"/>
        </w:rPr>
        <w:footnoteRef/>
      </w:r>
      <w:r>
        <w:t xml:space="preserve"> </w:t>
      </w:r>
      <w:r>
        <w:tab/>
      </w:r>
      <w:r w:rsidRPr="002E60F3">
        <w:t>« Contacté par CheckNews, le ministère de la Justice indique que la contr</w:t>
      </w:r>
      <w:r w:rsidRPr="002E60F3">
        <w:t>a</w:t>
      </w:r>
      <w:r w:rsidRPr="002E60F3">
        <w:t>vention d’outrage sexiste, qui est une contravention de la 4</w:t>
      </w:r>
      <w:r w:rsidRPr="002E60F3">
        <w:rPr>
          <w:vertAlign w:val="superscript"/>
        </w:rPr>
        <w:t>e</w:t>
      </w:r>
      <w:r w:rsidRPr="002E60F3">
        <w:t xml:space="preserve"> classe, relève de la procédure de l’amende forfaitaire. Or, le ministère de la Justice ne dispose pas des chiffres relatifs aux amendes forfaitaires dressées par les forces de l’ordre ou les agents habilités. Ces contraventions n’apparaissent dans nos l</w:t>
      </w:r>
      <w:r w:rsidRPr="002E60F3">
        <w:t>o</w:t>
      </w:r>
      <w:r w:rsidRPr="002E60F3">
        <w:t>giciels que si l’amende a fait l’objet d’une contestation traitée judiciair</w:t>
      </w:r>
      <w:r w:rsidRPr="002E60F3">
        <w:t>e</w:t>
      </w:r>
      <w:r w:rsidRPr="002E60F3">
        <w:t>ment » ; Combien d’amendes pour harcèlement de rue ont-elles (sic) été dre</w:t>
      </w:r>
      <w:r w:rsidRPr="002E60F3">
        <w:t>s</w:t>
      </w:r>
      <w:r w:rsidRPr="002E60F3">
        <w:t>sées d</w:t>
      </w:r>
      <w:r w:rsidRPr="002E60F3">
        <w:t>e</w:t>
      </w:r>
      <w:r w:rsidRPr="002E60F3">
        <w:t>puis la loi de 2018 ?, Jacques Pezet, CheckNews, 12 janvier 2022, 10 heures 04.</w:t>
      </w:r>
    </w:p>
  </w:footnote>
  <w:footnote w:id="64">
    <w:p w14:paraId="22C3520C" w14:textId="77777777" w:rsidR="00F3214B" w:rsidRDefault="00F3214B" w:rsidP="00F3214B">
      <w:pPr>
        <w:pStyle w:val="Notedebasdepage"/>
      </w:pPr>
      <w:r>
        <w:rPr>
          <w:rStyle w:val="Appelnotedebasdep"/>
        </w:rPr>
        <w:footnoteRef/>
      </w:r>
      <w:r>
        <w:t xml:space="preserve"> </w:t>
      </w:r>
      <w:r>
        <w:tab/>
      </w:r>
      <w:r w:rsidRPr="002E60F3">
        <w:t>De manière ne serait-ce qu’à investir dans la prévention du harcèlement de rue un montant au moins équivalent plutôt que de faire de cette infractio</w:t>
      </w:r>
      <w:r>
        <w:t>n une source de revenus pour l’É</w:t>
      </w:r>
      <w:r w:rsidRPr="002E60F3">
        <w:t>tat.</w:t>
      </w:r>
    </w:p>
  </w:footnote>
  <w:footnote w:id="65">
    <w:p w14:paraId="3A2F4DBB" w14:textId="77777777" w:rsidR="00F3214B" w:rsidRDefault="00F3214B" w:rsidP="00F3214B">
      <w:pPr>
        <w:pStyle w:val="Notedebasdepage"/>
      </w:pPr>
      <w:r>
        <w:rPr>
          <w:rStyle w:val="Appelnotedebasdep"/>
        </w:rPr>
        <w:footnoteRef/>
      </w:r>
      <w:r>
        <w:t xml:space="preserve"> </w:t>
      </w:r>
      <w:r>
        <w:tab/>
      </w:r>
      <w:r w:rsidRPr="002E60F3">
        <w:t>Pour repérer et corriger d’éventuelles distorsions, mais aussi pour identifier les points à améliorer en priorité.</w:t>
      </w:r>
    </w:p>
  </w:footnote>
  <w:footnote w:id="66">
    <w:p w14:paraId="43C5E1B0" w14:textId="77777777" w:rsidR="00F3214B" w:rsidRDefault="00F3214B" w:rsidP="00F3214B">
      <w:pPr>
        <w:pStyle w:val="Notedebasdepage"/>
      </w:pPr>
      <w:r>
        <w:rPr>
          <w:rStyle w:val="Appelnotedebasdep"/>
        </w:rPr>
        <w:footnoteRef/>
      </w:r>
      <w:r>
        <w:t xml:space="preserve"> </w:t>
      </w:r>
      <w:r>
        <w:tab/>
      </w:r>
      <w:r w:rsidRPr="002E60F3">
        <w:rPr>
          <w:lang w:eastAsia="fr-FR"/>
        </w:rPr>
        <w:t>Service Statistique Ministériel de la Sécurité Intérieure ; Interstats Info rap</w:t>
      </w:r>
      <w:r w:rsidRPr="002E60F3">
        <w:rPr>
          <w:lang w:eastAsia="fr-FR"/>
        </w:rPr>
        <w:t>i</w:t>
      </w:r>
      <w:r w:rsidRPr="002E60F3">
        <w:rPr>
          <w:lang w:eastAsia="fr-FR"/>
        </w:rPr>
        <w:t>de n°</w:t>
      </w:r>
      <w:r>
        <w:rPr>
          <w:lang w:eastAsia="fr-FR"/>
        </w:rPr>
        <w:t> </w:t>
      </w:r>
      <w:r w:rsidRPr="002E60F3">
        <w:rPr>
          <w:lang w:eastAsia="fr-FR"/>
        </w:rPr>
        <w:t>18, Macaux L. et Debuchy S., Les outrages sexistes enregistrés par les se</w:t>
      </w:r>
      <w:r w:rsidRPr="002E60F3">
        <w:rPr>
          <w:lang w:eastAsia="fr-FR"/>
        </w:rPr>
        <w:t>r</w:t>
      </w:r>
      <w:r w:rsidRPr="002E60F3">
        <w:rPr>
          <w:lang w:eastAsia="fr-FR"/>
        </w:rPr>
        <w:t>vices de sécurité en 2020 ; Interstats Info rapide n°</w:t>
      </w:r>
      <w:r>
        <w:rPr>
          <w:lang w:eastAsia="fr-FR"/>
        </w:rPr>
        <w:t> </w:t>
      </w:r>
      <w:r w:rsidRPr="002E60F3">
        <w:rPr>
          <w:lang w:eastAsia="fr-FR"/>
        </w:rPr>
        <w:t>20, Hausse des outr</w:t>
      </w:r>
      <w:r w:rsidRPr="002E60F3">
        <w:rPr>
          <w:lang w:eastAsia="fr-FR"/>
        </w:rPr>
        <w:t>a</w:t>
      </w:r>
      <w:r w:rsidRPr="002E60F3">
        <w:rPr>
          <w:lang w:eastAsia="fr-FR"/>
        </w:rPr>
        <w:t>ges sexistes enregistrés par les services de sécurité en 2021.</w:t>
      </w:r>
    </w:p>
  </w:footnote>
  <w:footnote w:id="67">
    <w:p w14:paraId="19700637" w14:textId="77777777" w:rsidR="00F3214B" w:rsidRDefault="00F3214B" w:rsidP="00F3214B">
      <w:pPr>
        <w:pStyle w:val="Notedebasdepage"/>
      </w:pPr>
      <w:r>
        <w:rPr>
          <w:rStyle w:val="Appelnotedebasdep"/>
        </w:rPr>
        <w:footnoteRef/>
      </w:r>
      <w:r>
        <w:t xml:space="preserve"> </w:t>
      </w:r>
      <w:r>
        <w:tab/>
      </w:r>
      <w:r w:rsidRPr="002E60F3">
        <w:t>Ce qui, sur la base d’une extrapolation à mois constants, dont la justesse d</w:t>
      </w:r>
      <w:r w:rsidRPr="002E60F3">
        <w:t>e</w:t>
      </w:r>
      <w:r w:rsidRPr="002E60F3">
        <w:t>manderait à être vérifiée à partir d’études portant sur des années compl</w:t>
      </w:r>
      <w:r w:rsidRPr="002E60F3">
        <w:t>è</w:t>
      </w:r>
      <w:r w:rsidRPr="002E60F3">
        <w:t>tes, donnerait un chiffre annuel de l’ordre de 520.</w:t>
      </w:r>
    </w:p>
  </w:footnote>
  <w:footnote w:id="68">
    <w:p w14:paraId="79AB2752" w14:textId="77777777" w:rsidR="00F3214B" w:rsidRDefault="00F3214B" w:rsidP="00F3214B">
      <w:pPr>
        <w:pStyle w:val="Notedebasdepage"/>
      </w:pPr>
      <w:r>
        <w:rPr>
          <w:rStyle w:val="Appelnotedebasdep"/>
        </w:rPr>
        <w:footnoteRef/>
      </w:r>
      <w:r>
        <w:t xml:space="preserve"> </w:t>
      </w:r>
      <w:r>
        <w:tab/>
      </w:r>
      <w:r w:rsidRPr="002E60F3">
        <w:t>Avec une accélération très nette sur les six derniers mois de l’année.</w:t>
      </w:r>
    </w:p>
  </w:footnote>
  <w:footnote w:id="69">
    <w:p w14:paraId="36106F99" w14:textId="77777777" w:rsidR="00F3214B" w:rsidRDefault="00F3214B" w:rsidP="00F3214B">
      <w:pPr>
        <w:pStyle w:val="Notedebasdepage"/>
      </w:pPr>
      <w:r>
        <w:rPr>
          <w:rStyle w:val="Appelnotedebasdep"/>
        </w:rPr>
        <w:footnoteRef/>
      </w:r>
      <w:r>
        <w:t xml:space="preserve"> </w:t>
      </w:r>
      <w:r>
        <w:tab/>
      </w:r>
      <w:r w:rsidRPr="002E60F3">
        <w:t>Sans certitude absolue, les périodes de collecte des données se chevauchant sans se confondre.</w:t>
      </w:r>
    </w:p>
  </w:footnote>
  <w:footnote w:id="70">
    <w:p w14:paraId="2F960F55" w14:textId="77777777" w:rsidR="00F3214B" w:rsidRDefault="00F3214B" w:rsidP="00F3214B">
      <w:pPr>
        <w:pStyle w:val="Notedebasdepage"/>
      </w:pPr>
      <w:r>
        <w:rPr>
          <w:rStyle w:val="Appelnotedebasdep"/>
        </w:rPr>
        <w:footnoteRef/>
      </w:r>
      <w:r>
        <w:t xml:space="preserve"> </w:t>
      </w:r>
      <w:r>
        <w:tab/>
      </w:r>
      <w:r w:rsidRPr="002E60F3">
        <w:t>Julie Peigné, cité par Manon Tossat, article précité.</w:t>
      </w:r>
    </w:p>
  </w:footnote>
  <w:footnote w:id="71">
    <w:p w14:paraId="2AD7060C" w14:textId="77777777" w:rsidR="00F3214B" w:rsidRDefault="00F3214B" w:rsidP="00F3214B">
      <w:pPr>
        <w:pStyle w:val="Notedebasdepage"/>
      </w:pPr>
      <w:r>
        <w:rPr>
          <w:rStyle w:val="Appelnotedebasdep"/>
        </w:rPr>
        <w:footnoteRef/>
      </w:r>
      <w:r>
        <w:t xml:space="preserve"> </w:t>
      </w:r>
      <w:r>
        <w:tab/>
      </w:r>
      <w:r w:rsidRPr="002E60F3">
        <w:t xml:space="preserve">Le </w:t>
      </w:r>
      <w:r w:rsidRPr="002E60F3">
        <w:rPr>
          <w:lang w:eastAsia="fr-FR"/>
        </w:rPr>
        <w:t>Service Statistique Ministériel de la Sécurité Intérieure aurai</w:t>
      </w:r>
      <w:r>
        <w:rPr>
          <w:lang w:eastAsia="fr-FR"/>
        </w:rPr>
        <w:t>t indiqué sur ce point que : « </w:t>
      </w:r>
      <w:r w:rsidRPr="002E60F3">
        <w:rPr>
          <w:lang w:eastAsia="fr-FR"/>
        </w:rPr>
        <w:t>le Parquet décide également fréquemment d’une alternative aux poursuites, comme le rappel à la loi, ou un classement sans suite pour i</w:t>
      </w:r>
      <w:r w:rsidRPr="002E60F3">
        <w:rPr>
          <w:lang w:eastAsia="fr-FR"/>
        </w:rPr>
        <w:t>n</w:t>
      </w:r>
      <w:r w:rsidRPr="002E60F3">
        <w:rPr>
          <w:lang w:eastAsia="fr-FR"/>
        </w:rPr>
        <w:t>fra</w:t>
      </w:r>
      <w:r w:rsidRPr="002E60F3">
        <w:rPr>
          <w:lang w:eastAsia="fr-FR"/>
        </w:rPr>
        <w:t>c</w:t>
      </w:r>
      <w:r w:rsidRPr="002E60F3">
        <w:rPr>
          <w:lang w:eastAsia="fr-FR"/>
        </w:rPr>
        <w:t>tion insuffisamment caractérisée, quand le mis en cause ne reconnait pas les faits et qu’il n’existe pas d’éléments autres que la parole de la vict</w:t>
      </w:r>
      <w:r w:rsidRPr="002E60F3">
        <w:rPr>
          <w:lang w:eastAsia="fr-FR"/>
        </w:rPr>
        <w:t>i</w:t>
      </w:r>
      <w:r w:rsidRPr="002E60F3">
        <w:rPr>
          <w:lang w:eastAsia="fr-FR"/>
        </w:rPr>
        <w:t>me, tels que la vidéosurveillance ou d’éventuels témoins » ; La France est-elle le pr</w:t>
      </w:r>
      <w:r w:rsidRPr="002E60F3">
        <w:rPr>
          <w:lang w:eastAsia="fr-FR"/>
        </w:rPr>
        <w:t>e</w:t>
      </w:r>
      <w:r w:rsidRPr="002E60F3">
        <w:rPr>
          <w:lang w:eastAsia="fr-FR"/>
        </w:rPr>
        <w:t>mier pays à avoir verbalisé le harcèlement de rue, comme l’affirme Marlène Schiappa ?, CheckNews, 21 mai 201.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1437" w14:textId="77777777" w:rsidR="00F3214B" w:rsidRDefault="00F3214B" w:rsidP="00F3214B">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r>
    <w:r w:rsidRPr="00BB3181">
      <w:rPr>
        <w:rFonts w:ascii="Times New Roman" w:hAnsi="Times New Roman"/>
      </w:rPr>
      <w:t>“</w:t>
    </w:r>
    <w:r>
      <w:rPr>
        <w:rFonts w:ascii="Times New Roman" w:hAnsi="Times New Roman"/>
      </w:rPr>
      <w:t>Harcèlement de rue : l’inefficacité d’une réponse purement répressive.</w:t>
    </w:r>
    <w:r w:rsidRPr="00BB3181">
      <w:rPr>
        <w:rFonts w:ascii="Times New Roman" w:hAnsi="Times New Roman"/>
      </w:rPr>
      <w:t>”</w:t>
    </w:r>
    <w:r w:rsidRPr="00C90835">
      <w:rPr>
        <w:rFonts w:ascii="Times New Roman" w:hAnsi="Times New Roman"/>
      </w:rPr>
      <w:t xml:space="preserve"> </w:t>
    </w:r>
    <w:r>
      <w:rPr>
        <w:rFonts w:ascii="Times New Roman" w:hAnsi="Times New Roman"/>
      </w:rPr>
      <w:t>(2022)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24</w:t>
    </w:r>
    <w:r>
      <w:rPr>
        <w:rStyle w:val="Numrodepage"/>
        <w:rFonts w:ascii="Times New Roman" w:hAnsi="Times New Roman"/>
      </w:rPr>
      <w:fldChar w:fldCharType="end"/>
    </w:r>
  </w:p>
  <w:p w14:paraId="2A057BE4" w14:textId="77777777" w:rsidR="00F3214B" w:rsidRDefault="00F3214B">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3005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B45088"/>
    <w:multiLevelType w:val="hybridMultilevel"/>
    <w:tmpl w:val="E668C22C"/>
    <w:lvl w:ilvl="0" w:tplc="E3ACE2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2613F7"/>
    <w:multiLevelType w:val="hybridMultilevel"/>
    <w:tmpl w:val="C9D6CED6"/>
    <w:lvl w:ilvl="0" w:tplc="23E8C798">
      <w:numFmt w:val="bullet"/>
      <w:lvlText w:val=""/>
      <w:lvlJc w:val="left"/>
      <w:pPr>
        <w:ind w:left="720" w:hanging="360"/>
      </w:pPr>
      <w:rPr>
        <w:rFonts w:ascii="Wingdings" w:eastAsia="Cambria" w:hAnsi="Wingdings" w:cs="Times New Roman" w:hint="default"/>
      </w:rPr>
    </w:lvl>
    <w:lvl w:ilvl="1" w:tplc="040C0003" w:tentative="1">
      <w:start w:val="1"/>
      <w:numFmt w:val="bullet"/>
      <w:lvlText w:val="o"/>
      <w:lvlJc w:val="left"/>
      <w:pPr>
        <w:ind w:left="1440" w:hanging="360"/>
      </w:pPr>
      <w:rPr>
        <w:rFonts w:ascii="Courier New" w:hAnsi="Courier New" w:cs="Arial-Bold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BoldMT"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BoldMT"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0E3170"/>
    <w:multiLevelType w:val="multilevel"/>
    <w:tmpl w:val="A086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759C9"/>
    <w:multiLevelType w:val="multilevel"/>
    <w:tmpl w:val="9352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47EB6"/>
    <w:multiLevelType w:val="multilevel"/>
    <w:tmpl w:val="9D44D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8104D"/>
    <w:multiLevelType w:val="multilevel"/>
    <w:tmpl w:val="1636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D53B2"/>
    <w:multiLevelType w:val="multilevel"/>
    <w:tmpl w:val="19EC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40E66"/>
    <w:multiLevelType w:val="hybridMultilevel"/>
    <w:tmpl w:val="72825D86"/>
    <w:lvl w:ilvl="0" w:tplc="6AE2BD6C">
      <w:start w:val="1"/>
      <w:numFmt w:val="bullet"/>
      <w:lvlText w:val="-"/>
      <w:lvlJc w:val="left"/>
      <w:pPr>
        <w:ind w:left="720" w:hanging="360"/>
      </w:pPr>
      <w:rPr>
        <w:rFonts w:ascii="Times New Roman" w:eastAsia="Cambr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ED36AB"/>
    <w:multiLevelType w:val="hybridMultilevel"/>
    <w:tmpl w:val="DF7A01FE"/>
    <w:lvl w:ilvl="0" w:tplc="E794A418">
      <w:numFmt w:val="bullet"/>
      <w:lvlText w:val="-"/>
      <w:lvlJc w:val="left"/>
      <w:pPr>
        <w:ind w:left="720" w:hanging="360"/>
      </w:pPr>
      <w:rPr>
        <w:rFonts w:ascii="Times New Roman" w:eastAsia="Cambria" w:hAnsi="Times New Roman" w:cs="Times New Roman" w:hint="default"/>
      </w:rPr>
    </w:lvl>
    <w:lvl w:ilvl="1" w:tplc="040C0003" w:tentative="1">
      <w:start w:val="1"/>
      <w:numFmt w:val="bullet"/>
      <w:lvlText w:val="o"/>
      <w:lvlJc w:val="left"/>
      <w:pPr>
        <w:ind w:left="1440" w:hanging="360"/>
      </w:pPr>
      <w:rPr>
        <w:rFonts w:ascii="Courier New" w:hAnsi="Courier New" w:cs="Arial-Bold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BoldMT"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BoldMT"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541D01"/>
    <w:multiLevelType w:val="multilevel"/>
    <w:tmpl w:val="E674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8CC"/>
    <w:multiLevelType w:val="multilevel"/>
    <w:tmpl w:val="1D90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3129E6"/>
    <w:multiLevelType w:val="multilevel"/>
    <w:tmpl w:val="28DA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12680A"/>
    <w:multiLevelType w:val="multilevel"/>
    <w:tmpl w:val="17D0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7F068F"/>
    <w:multiLevelType w:val="multilevel"/>
    <w:tmpl w:val="AF58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AD643A"/>
    <w:multiLevelType w:val="multilevel"/>
    <w:tmpl w:val="A0A0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891BFE"/>
    <w:multiLevelType w:val="hybridMultilevel"/>
    <w:tmpl w:val="2C10E406"/>
    <w:lvl w:ilvl="0" w:tplc="66D21370">
      <w:start w:val="1"/>
      <w:numFmt w:val="bullet"/>
      <w:lvlText w:val="-"/>
      <w:lvlJc w:val="left"/>
      <w:pPr>
        <w:ind w:left="360" w:hanging="360"/>
      </w:pPr>
      <w:rPr>
        <w:rFonts w:ascii="Calibri" w:eastAsia="Cambria" w:hAnsi="Calibri" w:cs="Calibri" w:hint="default"/>
      </w:rPr>
    </w:lvl>
    <w:lvl w:ilvl="1" w:tplc="040C0003" w:tentative="1">
      <w:start w:val="1"/>
      <w:numFmt w:val="bullet"/>
      <w:lvlText w:val="o"/>
      <w:lvlJc w:val="left"/>
      <w:pPr>
        <w:ind w:left="2214" w:hanging="360"/>
      </w:pPr>
      <w:rPr>
        <w:rFonts w:ascii="Courier New" w:hAnsi="Courier New" w:cs="Arial-BoldMT"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Arial-BoldMT"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Arial-BoldMT" w:hint="default"/>
      </w:rPr>
    </w:lvl>
    <w:lvl w:ilvl="8" w:tplc="040C0005" w:tentative="1">
      <w:start w:val="1"/>
      <w:numFmt w:val="bullet"/>
      <w:lvlText w:val=""/>
      <w:lvlJc w:val="left"/>
      <w:pPr>
        <w:ind w:left="7254" w:hanging="360"/>
      </w:pPr>
      <w:rPr>
        <w:rFonts w:ascii="Wingdings" w:hAnsi="Wingdings" w:hint="default"/>
      </w:rPr>
    </w:lvl>
  </w:abstractNum>
  <w:abstractNum w:abstractNumId="18" w15:restartNumberingAfterBreak="0">
    <w:nsid w:val="4C4257E8"/>
    <w:multiLevelType w:val="multilevel"/>
    <w:tmpl w:val="57FE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E23A4F"/>
    <w:multiLevelType w:val="multilevel"/>
    <w:tmpl w:val="44AA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F26B17"/>
    <w:multiLevelType w:val="multilevel"/>
    <w:tmpl w:val="3996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6569D9"/>
    <w:multiLevelType w:val="multilevel"/>
    <w:tmpl w:val="FBF2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4B280A"/>
    <w:multiLevelType w:val="hybridMultilevel"/>
    <w:tmpl w:val="6D20EEC2"/>
    <w:lvl w:ilvl="0" w:tplc="FCBC69EE">
      <w:start w:val="1"/>
      <w:numFmt w:val="upperLetter"/>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CC2166C"/>
    <w:multiLevelType w:val="multilevel"/>
    <w:tmpl w:val="BADE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8149C5"/>
    <w:multiLevelType w:val="multilevel"/>
    <w:tmpl w:val="AB32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670B47"/>
    <w:multiLevelType w:val="multilevel"/>
    <w:tmpl w:val="94E0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26456D"/>
    <w:multiLevelType w:val="multilevel"/>
    <w:tmpl w:val="48B8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A15A49"/>
    <w:multiLevelType w:val="multilevel"/>
    <w:tmpl w:val="FD70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364979">
    <w:abstractNumId w:val="13"/>
  </w:num>
  <w:num w:numId="2" w16cid:durableId="1573078830">
    <w:abstractNumId w:val="17"/>
  </w:num>
  <w:num w:numId="3" w16cid:durableId="19652312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0587336">
    <w:abstractNumId w:val="8"/>
  </w:num>
  <w:num w:numId="5" w16cid:durableId="226494778">
    <w:abstractNumId w:val="23"/>
  </w:num>
  <w:num w:numId="6" w16cid:durableId="340279545">
    <w:abstractNumId w:val="12"/>
  </w:num>
  <w:num w:numId="7" w16cid:durableId="1510754047">
    <w:abstractNumId w:val="7"/>
  </w:num>
  <w:num w:numId="8" w16cid:durableId="1585648138">
    <w:abstractNumId w:val="11"/>
  </w:num>
  <w:num w:numId="9" w16cid:durableId="712778248">
    <w:abstractNumId w:val="25"/>
  </w:num>
  <w:num w:numId="10" w16cid:durableId="1058550747">
    <w:abstractNumId w:val="0"/>
  </w:num>
  <w:num w:numId="11" w16cid:durableId="586227691">
    <w:abstractNumId w:val="22"/>
  </w:num>
  <w:num w:numId="12" w16cid:durableId="924723761">
    <w:abstractNumId w:val="2"/>
  </w:num>
  <w:num w:numId="13" w16cid:durableId="1350990445">
    <w:abstractNumId w:val="9"/>
  </w:num>
  <w:num w:numId="14" w16cid:durableId="1936208109">
    <w:abstractNumId w:val="1"/>
  </w:num>
  <w:num w:numId="15" w16cid:durableId="1007635135">
    <w:abstractNumId w:val="6"/>
  </w:num>
  <w:num w:numId="16" w16cid:durableId="1258320462">
    <w:abstractNumId w:val="26"/>
  </w:num>
  <w:num w:numId="17" w16cid:durableId="1801410386">
    <w:abstractNumId w:val="18"/>
  </w:num>
  <w:num w:numId="18" w16cid:durableId="887958164">
    <w:abstractNumId w:val="15"/>
  </w:num>
  <w:num w:numId="19" w16cid:durableId="865214011">
    <w:abstractNumId w:val="14"/>
  </w:num>
  <w:num w:numId="20" w16cid:durableId="1698509148">
    <w:abstractNumId w:val="24"/>
  </w:num>
  <w:num w:numId="21" w16cid:durableId="1671130185">
    <w:abstractNumId w:val="19"/>
  </w:num>
  <w:num w:numId="22" w16cid:durableId="20210425">
    <w:abstractNumId w:val="3"/>
  </w:num>
  <w:num w:numId="23" w16cid:durableId="952830636">
    <w:abstractNumId w:val="10"/>
  </w:num>
  <w:num w:numId="24" w16cid:durableId="520166475">
    <w:abstractNumId w:val="20"/>
  </w:num>
  <w:num w:numId="25" w16cid:durableId="773136592">
    <w:abstractNumId w:val="5"/>
  </w:num>
  <w:num w:numId="26" w16cid:durableId="375474374">
    <w:abstractNumId w:val="27"/>
  </w:num>
  <w:num w:numId="27" w16cid:durableId="139619617">
    <w:abstractNumId w:val="21"/>
  </w:num>
  <w:num w:numId="28" w16cid:durableId="1686131032">
    <w:abstractNumId w:val="4"/>
  </w:num>
  <w:num w:numId="29" w16cid:durableId="18200003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996B92"/>
    <w:rsid w:val="00CC46F0"/>
    <w:rsid w:val="00F3214B"/>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04D243"/>
  <w15:chartTrackingRefBased/>
  <w15:docId w15:val="{EBC24B54-425C-EF4B-8057-496663A3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qFormat="1"/>
    <w:lsdException w:name="Normal (Web)" w:uiPriority="99"/>
    <w:lsdException w:name="HTML Preformatted" w:uiPriority="99"/>
    <w:lsdException w:name="Balloon Text" w:uiPriority="99"/>
    <w:lsdException w:name="Table Grid" w:uiPriority="99"/>
    <w:lsdException w:name="No Spacing" w:qFormat="1"/>
    <w:lsdException w:name="List Paragraph" w:qFormat="1"/>
    <w:lsdException w:name="Quote" w:qFormat="1"/>
    <w:lsdException w:name="Intense Quote" w:qFormat="1"/>
    <w:lsdException w:name="Colorful List Accent 1" w:uiPriority="7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807208"/>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1E3A35"/>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character" w:customStyle="1" w:styleId="peb">
    <w:name w:val="_pe_b"/>
    <w:basedOn w:val="Policepardfaut"/>
    <w:rsid w:val="00701E82"/>
  </w:style>
  <w:style w:type="character" w:customStyle="1" w:styleId="bidiallowtextselection">
    <w:name w:val="bidi allowtextselection"/>
    <w:basedOn w:val="Policepardfaut"/>
    <w:rsid w:val="00701E82"/>
  </w:style>
  <w:style w:type="character" w:customStyle="1" w:styleId="Titre1Car">
    <w:name w:val="Titre 1 Car"/>
    <w:link w:val="Titre1"/>
    <w:rsid w:val="001E3A35"/>
    <w:rPr>
      <w:rFonts w:eastAsia="Times New Roman"/>
      <w:noProof/>
      <w:lang w:val="fr-CA" w:eastAsia="en-US" w:bidi="ar-SA"/>
    </w:rPr>
  </w:style>
  <w:style w:type="character" w:customStyle="1" w:styleId="Titre2Car">
    <w:name w:val="Titre 2 Car"/>
    <w:link w:val="Titre2"/>
    <w:rsid w:val="001E3A35"/>
    <w:rPr>
      <w:rFonts w:eastAsia="Times New Roman"/>
      <w:noProof/>
      <w:lang w:val="fr-CA" w:eastAsia="en-US" w:bidi="ar-SA"/>
    </w:rPr>
  </w:style>
  <w:style w:type="character" w:customStyle="1" w:styleId="Titre3Car">
    <w:name w:val="Titre 3 Car"/>
    <w:link w:val="Titre3"/>
    <w:rsid w:val="001E3A35"/>
    <w:rPr>
      <w:rFonts w:eastAsia="Times New Roman"/>
      <w:noProof/>
      <w:lang w:val="fr-CA" w:eastAsia="en-US" w:bidi="ar-SA"/>
    </w:rPr>
  </w:style>
  <w:style w:type="character" w:customStyle="1" w:styleId="Titre4Car">
    <w:name w:val="Titre 4 Car"/>
    <w:link w:val="Titre4"/>
    <w:rsid w:val="001E3A35"/>
    <w:rPr>
      <w:rFonts w:eastAsia="Times New Roman"/>
      <w:noProof/>
      <w:lang w:val="fr-CA" w:eastAsia="en-US" w:bidi="ar-SA"/>
    </w:rPr>
  </w:style>
  <w:style w:type="character" w:customStyle="1" w:styleId="Titre5Car">
    <w:name w:val="Titre 5 Car"/>
    <w:link w:val="Titre5"/>
    <w:rsid w:val="001E3A35"/>
    <w:rPr>
      <w:rFonts w:eastAsia="Times New Roman"/>
      <w:noProof/>
      <w:lang w:val="fr-CA" w:eastAsia="en-US" w:bidi="ar-SA"/>
    </w:rPr>
  </w:style>
  <w:style w:type="paragraph" w:customStyle="1" w:styleId="Listecouleur-Accent11">
    <w:name w:val="Liste couleur - Accent 11"/>
    <w:basedOn w:val="Normal"/>
    <w:uiPriority w:val="34"/>
    <w:qFormat/>
    <w:rsid w:val="001E3A35"/>
    <w:pPr>
      <w:ind w:left="720"/>
      <w:contextualSpacing/>
    </w:pPr>
  </w:style>
  <w:style w:type="paragraph" w:styleId="Sous-titre">
    <w:name w:val="Subtitle"/>
    <w:basedOn w:val="Normal"/>
    <w:next w:val="Normal"/>
    <w:link w:val="Sous-titreCar"/>
    <w:uiPriority w:val="11"/>
    <w:qFormat/>
    <w:rsid w:val="001E3A35"/>
    <w:pPr>
      <w:numPr>
        <w:ilvl w:val="1"/>
      </w:numPr>
      <w:ind w:firstLine="360"/>
    </w:pPr>
    <w:rPr>
      <w:rFonts w:eastAsia="MS Mincho"/>
      <w:i/>
      <w:color w:val="5A5A5A"/>
      <w:spacing w:val="15"/>
    </w:rPr>
  </w:style>
  <w:style w:type="character" w:customStyle="1" w:styleId="Sous-titreCar">
    <w:name w:val="Sous-titre Car"/>
    <w:basedOn w:val="Policepardfaut"/>
    <w:link w:val="Sous-titre"/>
    <w:uiPriority w:val="11"/>
    <w:rsid w:val="001E3A35"/>
    <w:rPr>
      <w:rFonts w:ascii="Times New Roman" w:eastAsia="MS Mincho" w:hAnsi="Times New Roman"/>
      <w:i/>
      <w:color w:val="5A5A5A"/>
      <w:spacing w:val="15"/>
      <w:sz w:val="28"/>
      <w:lang w:val="fr-CA" w:eastAsia="en-US"/>
    </w:rPr>
  </w:style>
  <w:style w:type="paragraph" w:customStyle="1" w:styleId="TableauGrille31">
    <w:name w:val="Tableau Grille 31"/>
    <w:basedOn w:val="Titre1"/>
    <w:next w:val="Normal"/>
    <w:uiPriority w:val="39"/>
    <w:unhideWhenUsed/>
    <w:qFormat/>
    <w:rsid w:val="001E3A35"/>
    <w:pPr>
      <w:outlineLvl w:val="9"/>
    </w:pPr>
    <w:rPr>
      <w:color w:val="365F91"/>
      <w:lang w:eastAsia="fr-FR"/>
    </w:rPr>
  </w:style>
  <w:style w:type="paragraph" w:styleId="TM1">
    <w:name w:val="toc 1"/>
    <w:basedOn w:val="Normal"/>
    <w:next w:val="Normal"/>
    <w:autoRedefine/>
    <w:uiPriority w:val="39"/>
    <w:unhideWhenUsed/>
    <w:rsid w:val="001E3A35"/>
    <w:pPr>
      <w:tabs>
        <w:tab w:val="right" w:leader="dot" w:pos="9062"/>
      </w:tabs>
      <w:spacing w:after="100"/>
    </w:pPr>
  </w:style>
  <w:style w:type="paragraph" w:styleId="TM2">
    <w:name w:val="toc 2"/>
    <w:basedOn w:val="Normal"/>
    <w:next w:val="Normal"/>
    <w:autoRedefine/>
    <w:uiPriority w:val="39"/>
    <w:unhideWhenUsed/>
    <w:rsid w:val="001E3A35"/>
    <w:pPr>
      <w:spacing w:after="100"/>
      <w:ind w:left="220"/>
    </w:pPr>
  </w:style>
  <w:style w:type="paragraph" w:styleId="TM3">
    <w:name w:val="toc 3"/>
    <w:basedOn w:val="Normal"/>
    <w:next w:val="Normal"/>
    <w:autoRedefine/>
    <w:uiPriority w:val="39"/>
    <w:unhideWhenUsed/>
    <w:rsid w:val="001E3A35"/>
    <w:pPr>
      <w:spacing w:after="100"/>
      <w:ind w:left="440"/>
    </w:pPr>
  </w:style>
  <w:style w:type="paragraph" w:styleId="TM4">
    <w:name w:val="toc 4"/>
    <w:basedOn w:val="Normal"/>
    <w:next w:val="Normal"/>
    <w:autoRedefine/>
    <w:uiPriority w:val="39"/>
    <w:unhideWhenUsed/>
    <w:rsid w:val="001E3A35"/>
    <w:pPr>
      <w:spacing w:after="100"/>
      <w:ind w:left="660"/>
    </w:pPr>
  </w:style>
  <w:style w:type="paragraph" w:customStyle="1" w:styleId="TableauGrille21">
    <w:name w:val="Tableau Grille 21"/>
    <w:basedOn w:val="Normal"/>
    <w:next w:val="Normal"/>
    <w:uiPriority w:val="37"/>
    <w:unhideWhenUsed/>
    <w:rsid w:val="001E3A35"/>
  </w:style>
  <w:style w:type="character" w:customStyle="1" w:styleId="NotedebasdepageCar">
    <w:name w:val="Note de bas de page Car"/>
    <w:link w:val="Notedebasdepage"/>
    <w:rsid w:val="00807208"/>
    <w:rPr>
      <w:rFonts w:ascii="Times New Roman" w:eastAsia="Times New Roman" w:hAnsi="Times New Roman"/>
      <w:color w:val="000000"/>
      <w:sz w:val="24"/>
      <w:lang w:val="fr-CA" w:eastAsia="en-US"/>
    </w:rPr>
  </w:style>
  <w:style w:type="character" w:customStyle="1" w:styleId="uppercase">
    <w:name w:val="uppercase"/>
    <w:rsid w:val="001E3A35"/>
  </w:style>
  <w:style w:type="paragraph" w:customStyle="1" w:styleId="Grillemoyenne21">
    <w:name w:val="Grille moyenne 21"/>
    <w:link w:val="Grillemoyenne2Car"/>
    <w:uiPriority w:val="1"/>
    <w:qFormat/>
    <w:rsid w:val="001E3A35"/>
    <w:pPr>
      <w:jc w:val="both"/>
    </w:pPr>
    <w:rPr>
      <w:rFonts w:ascii="Times New Roman" w:eastAsia="Cambria" w:hAnsi="Times New Roman"/>
      <w:sz w:val="24"/>
      <w:szCs w:val="22"/>
      <w:lang w:eastAsia="en-US"/>
    </w:rPr>
  </w:style>
  <w:style w:type="paragraph" w:styleId="PrformatHTML">
    <w:name w:val="HTML Preformatted"/>
    <w:basedOn w:val="Normal"/>
    <w:link w:val="PrformatHTMLCar"/>
    <w:uiPriority w:val="99"/>
    <w:unhideWhenUsed/>
    <w:rsid w:val="001E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fr-FR"/>
    </w:rPr>
  </w:style>
  <w:style w:type="character" w:customStyle="1" w:styleId="PrformatHTMLCar">
    <w:name w:val="Préformaté HTML Car"/>
    <w:basedOn w:val="Policepardfaut"/>
    <w:link w:val="PrformatHTML"/>
    <w:uiPriority w:val="99"/>
    <w:rsid w:val="001E3A35"/>
    <w:rPr>
      <w:rFonts w:ascii="Courier New" w:eastAsia="Times New Roman" w:hAnsi="Courier New" w:cs="Courier New"/>
      <w:lang w:val="fr-CA"/>
    </w:rPr>
  </w:style>
  <w:style w:type="paragraph" w:styleId="NormalWeb">
    <w:name w:val="Normal (Web)"/>
    <w:basedOn w:val="Normal"/>
    <w:uiPriority w:val="99"/>
    <w:rsid w:val="001E3A35"/>
    <w:pPr>
      <w:spacing w:beforeLines="1" w:afterLines="1"/>
      <w:ind w:firstLine="0"/>
    </w:pPr>
    <w:rPr>
      <w:rFonts w:ascii="Times" w:eastAsia="Times" w:hAnsi="Times"/>
      <w:sz w:val="20"/>
      <w:lang w:val="fr-FR" w:eastAsia="fr-FR"/>
    </w:rPr>
  </w:style>
  <w:style w:type="character" w:customStyle="1" w:styleId="Grillemoyenne2Car">
    <w:name w:val="Grille moyenne 2 Car"/>
    <w:link w:val="Grillemoyenne21"/>
    <w:uiPriority w:val="1"/>
    <w:rsid w:val="001E3A35"/>
    <w:rPr>
      <w:rFonts w:ascii="Times New Roman" w:eastAsia="Cambria" w:hAnsi="Times New Roman"/>
      <w:sz w:val="24"/>
      <w:szCs w:val="22"/>
      <w:lang w:eastAsia="en-US" w:bidi="ar-SA"/>
    </w:rPr>
  </w:style>
  <w:style w:type="paragraph" w:customStyle="1" w:styleId="Default">
    <w:name w:val="Default"/>
    <w:rsid w:val="001E3A35"/>
    <w:pPr>
      <w:autoSpaceDE w:val="0"/>
      <w:autoSpaceDN w:val="0"/>
      <w:adjustRightInd w:val="0"/>
    </w:pPr>
    <w:rPr>
      <w:rFonts w:ascii="Times New Roman" w:eastAsia="Cambria" w:hAnsi="Times New Roman"/>
      <w:color w:val="000000"/>
      <w:sz w:val="24"/>
      <w:szCs w:val="24"/>
      <w:lang w:val="fr-FR" w:eastAsia="en-US"/>
    </w:rPr>
  </w:style>
  <w:style w:type="character" w:customStyle="1" w:styleId="En-tteCar">
    <w:name w:val="En-tête Car"/>
    <w:link w:val="En-tte"/>
    <w:uiPriority w:val="99"/>
    <w:rsid w:val="001E3A35"/>
    <w:rPr>
      <w:rFonts w:ascii="GillSans" w:eastAsia="Times New Roman" w:hAnsi="GillSans"/>
      <w:lang w:val="fr-CA" w:eastAsia="en-US"/>
    </w:rPr>
  </w:style>
  <w:style w:type="character" w:customStyle="1" w:styleId="PieddepageCar">
    <w:name w:val="Pied de page Car"/>
    <w:link w:val="Pieddepage"/>
    <w:uiPriority w:val="99"/>
    <w:rsid w:val="001E3A35"/>
    <w:rPr>
      <w:rFonts w:ascii="GillSans" w:eastAsia="Times New Roman" w:hAnsi="GillSans"/>
      <w:lang w:val="fr-CA" w:eastAsia="en-US"/>
    </w:rPr>
  </w:style>
  <w:style w:type="paragraph" w:styleId="Textedebulles">
    <w:name w:val="Balloon Text"/>
    <w:basedOn w:val="Normal"/>
    <w:link w:val="TextedebullesCar"/>
    <w:uiPriority w:val="99"/>
    <w:unhideWhenUsed/>
    <w:rsid w:val="001E3A35"/>
    <w:rPr>
      <w:rFonts w:ascii="Segoe UI" w:hAnsi="Segoe UI" w:cs="Segoe UI"/>
      <w:sz w:val="18"/>
      <w:szCs w:val="18"/>
    </w:rPr>
  </w:style>
  <w:style w:type="character" w:customStyle="1" w:styleId="TextedebullesCar">
    <w:name w:val="Texte de bulles Car"/>
    <w:basedOn w:val="Policepardfaut"/>
    <w:link w:val="Textedebulles"/>
    <w:uiPriority w:val="99"/>
    <w:rsid w:val="001E3A35"/>
    <w:rPr>
      <w:rFonts w:ascii="Segoe UI" w:eastAsia="Times New Roman" w:hAnsi="Segoe UI" w:cs="Segoe UI"/>
      <w:sz w:val="18"/>
      <w:szCs w:val="18"/>
      <w:lang w:val="fr-CA" w:eastAsia="en-US"/>
    </w:rPr>
  </w:style>
  <w:style w:type="character" w:customStyle="1" w:styleId="crayon">
    <w:name w:val="crayon"/>
    <w:rsid w:val="001E3A35"/>
  </w:style>
  <w:style w:type="paragraph" w:customStyle="1" w:styleId="publication">
    <w:name w:val="publication"/>
    <w:basedOn w:val="Normal"/>
    <w:rsid w:val="001E3A35"/>
    <w:pPr>
      <w:spacing w:before="100" w:beforeAutospacing="1" w:after="100" w:afterAutospacing="1"/>
    </w:pPr>
    <w:rPr>
      <w:szCs w:val="24"/>
      <w:lang w:eastAsia="fr-FR"/>
    </w:rPr>
  </w:style>
  <w:style w:type="character" w:styleId="lev">
    <w:name w:val="Strong"/>
    <w:uiPriority w:val="22"/>
    <w:qFormat/>
    <w:rsid w:val="001E3A35"/>
    <w:rPr>
      <w:b/>
      <w:bCs/>
    </w:rPr>
  </w:style>
  <w:style w:type="character" w:customStyle="1" w:styleId="tocnumber">
    <w:name w:val="tocnumber"/>
    <w:rsid w:val="001E3A35"/>
  </w:style>
  <w:style w:type="character" w:customStyle="1" w:styleId="toctext">
    <w:name w:val="toctext"/>
    <w:rsid w:val="001E3A35"/>
  </w:style>
  <w:style w:type="character" w:customStyle="1" w:styleId="mw-headline">
    <w:name w:val="mw-headline"/>
    <w:rsid w:val="001E3A35"/>
  </w:style>
  <w:style w:type="character" w:customStyle="1" w:styleId="mw-editsection">
    <w:name w:val="mw-editsection"/>
    <w:rsid w:val="001E3A35"/>
  </w:style>
  <w:style w:type="character" w:customStyle="1" w:styleId="mw-editsection-bracket">
    <w:name w:val="mw-editsection-bracket"/>
    <w:rsid w:val="001E3A35"/>
  </w:style>
  <w:style w:type="character" w:customStyle="1" w:styleId="mw-editsection-divider">
    <w:name w:val="mw-editsection-divider"/>
    <w:rsid w:val="001E3A35"/>
  </w:style>
  <w:style w:type="paragraph" w:customStyle="1" w:styleId="titre0">
    <w:name w:val="titre"/>
    <w:basedOn w:val="Normal"/>
    <w:rsid w:val="001E3A35"/>
    <w:pPr>
      <w:spacing w:before="100" w:beforeAutospacing="1" w:after="100" w:afterAutospacing="1"/>
    </w:pPr>
    <w:rPr>
      <w:szCs w:val="24"/>
      <w:lang w:eastAsia="fr-FR"/>
    </w:rPr>
  </w:style>
  <w:style w:type="paragraph" w:customStyle="1" w:styleId="loi">
    <w:name w:val="loi"/>
    <w:basedOn w:val="Normal"/>
    <w:rsid w:val="001E3A35"/>
    <w:pPr>
      <w:spacing w:before="100" w:beforeAutospacing="1" w:after="100" w:afterAutospacing="1"/>
    </w:pPr>
    <w:rPr>
      <w:szCs w:val="24"/>
      <w:lang w:eastAsia="fr-FR"/>
    </w:rPr>
  </w:style>
  <w:style w:type="paragraph" w:customStyle="1" w:styleId="ref">
    <w:name w:val="ref"/>
    <w:basedOn w:val="Normal"/>
    <w:rsid w:val="001E3A35"/>
    <w:pPr>
      <w:spacing w:before="100" w:beforeAutospacing="1" w:after="100" w:afterAutospacing="1"/>
    </w:pPr>
    <w:rPr>
      <w:szCs w:val="24"/>
      <w:lang w:eastAsia="fr-FR"/>
    </w:rPr>
  </w:style>
  <w:style w:type="paragraph" w:customStyle="1" w:styleId="centre">
    <w:name w:val="centre"/>
    <w:basedOn w:val="Normal"/>
    <w:rsid w:val="001E3A35"/>
    <w:pPr>
      <w:spacing w:before="100" w:beforeAutospacing="1" w:after="100" w:afterAutospacing="1"/>
    </w:pPr>
    <w:rPr>
      <w:szCs w:val="24"/>
      <w:lang w:eastAsia="fr-FR"/>
    </w:rPr>
  </w:style>
  <w:style w:type="character" w:customStyle="1" w:styleId="para">
    <w:name w:val="para"/>
    <w:rsid w:val="001E3A35"/>
  </w:style>
  <w:style w:type="paragraph" w:customStyle="1" w:styleId="gauche">
    <w:name w:val="gauche"/>
    <w:basedOn w:val="Normal"/>
    <w:rsid w:val="001E3A35"/>
    <w:pPr>
      <w:spacing w:before="100" w:beforeAutospacing="1" w:after="100" w:afterAutospacing="1"/>
    </w:pPr>
    <w:rPr>
      <w:szCs w:val="24"/>
      <w:lang w:eastAsia="fr-FR"/>
    </w:rPr>
  </w:style>
  <w:style w:type="paragraph" w:styleId="Listecouleur-Accent1">
    <w:name w:val="Colorful List Accent 1"/>
    <w:basedOn w:val="Normal"/>
    <w:uiPriority w:val="72"/>
    <w:qFormat/>
    <w:rsid w:val="001E3A35"/>
    <w:pPr>
      <w:ind w:left="708"/>
    </w:pPr>
  </w:style>
  <w:style w:type="character" w:customStyle="1" w:styleId="CorpsdetexteCar">
    <w:name w:val="Corps de texte Car"/>
    <w:link w:val="Corpsdetexte"/>
    <w:rsid w:val="001E3A35"/>
    <w:rPr>
      <w:rFonts w:ascii="Times New Roman" w:eastAsia="Times New Roman" w:hAnsi="Times New Roman"/>
      <w:sz w:val="72"/>
      <w:lang w:val="fr-CA" w:eastAsia="en-US"/>
    </w:rPr>
  </w:style>
  <w:style w:type="character" w:customStyle="1" w:styleId="TitreCar">
    <w:name w:val="Titre Car"/>
    <w:link w:val="Titre"/>
    <w:rsid w:val="001E3A35"/>
    <w:rPr>
      <w:rFonts w:ascii="Times New Roman" w:eastAsia="Times New Roman" w:hAnsi="Times New Roman"/>
      <w:b/>
      <w:sz w:val="48"/>
      <w:lang w:val="fr-CA" w:eastAsia="en-US"/>
    </w:rPr>
  </w:style>
  <w:style w:type="character" w:customStyle="1" w:styleId="jpfdse">
    <w:name w:val="jpfdse"/>
    <w:rsid w:val="001E3A35"/>
  </w:style>
  <w:style w:type="paragraph" w:customStyle="1" w:styleId="name-article">
    <w:name w:val="name-article"/>
    <w:basedOn w:val="Normal"/>
    <w:rsid w:val="001E3A35"/>
    <w:pPr>
      <w:spacing w:before="100" w:beforeAutospacing="1" w:after="100" w:afterAutospacing="1"/>
    </w:pPr>
    <w:rPr>
      <w:szCs w:val="24"/>
      <w:lang w:eastAsia="fr-FR"/>
    </w:rPr>
  </w:style>
  <w:style w:type="character" w:customStyle="1" w:styleId="Titre6Car">
    <w:name w:val="Titre 6 Car"/>
    <w:basedOn w:val="Policepardfaut"/>
    <w:link w:val="Titre6"/>
    <w:rsid w:val="001E3A35"/>
    <w:rPr>
      <w:rFonts w:eastAsia="Times New Roman"/>
      <w:noProof/>
      <w:lang w:val="fr-CA" w:eastAsia="en-US" w:bidi="ar-SA"/>
    </w:rPr>
  </w:style>
  <w:style w:type="paragraph" w:customStyle="1" w:styleId="aa">
    <w:name w:val="aa"/>
    <w:basedOn w:val="Normal"/>
    <w:autoRedefine/>
    <w:rsid w:val="001E3A35"/>
    <w:pPr>
      <w:spacing w:before="120" w:after="120"/>
    </w:pPr>
    <w:rPr>
      <w:b/>
      <w:i/>
      <w:color w:val="FF0000"/>
      <w:sz w:val="32"/>
      <w:lang w:bidi="fr-FR"/>
    </w:rPr>
  </w:style>
  <w:style w:type="paragraph" w:customStyle="1" w:styleId="b">
    <w:name w:val="b"/>
    <w:basedOn w:val="Normal"/>
    <w:autoRedefine/>
    <w:rsid w:val="001E3A35"/>
    <w:pPr>
      <w:spacing w:before="120" w:after="120"/>
      <w:ind w:left="720"/>
    </w:pPr>
    <w:rPr>
      <w:i/>
      <w:color w:val="0000FF"/>
      <w:lang w:eastAsia="fr-FR" w:bidi="fr-FR"/>
    </w:rPr>
  </w:style>
  <w:style w:type="paragraph" w:customStyle="1" w:styleId="bb">
    <w:name w:val="bb"/>
    <w:basedOn w:val="Normal"/>
    <w:rsid w:val="001E3A35"/>
    <w:pPr>
      <w:spacing w:before="120" w:after="120"/>
      <w:ind w:left="540"/>
    </w:pPr>
    <w:rPr>
      <w:i/>
      <w:color w:val="0000FF"/>
      <w:lang w:bidi="fr-FR"/>
    </w:rPr>
  </w:style>
  <w:style w:type="character" w:customStyle="1" w:styleId="Grillecouleur-Accent1Car">
    <w:name w:val="Grille couleur - Accent 1 Car"/>
    <w:basedOn w:val="Policepardfaut"/>
    <w:link w:val="Grillecouleur-Accent1"/>
    <w:rsid w:val="001E3A35"/>
    <w:rPr>
      <w:rFonts w:ascii="Times New Roman" w:eastAsia="Times New Roman" w:hAnsi="Times New Roman"/>
      <w:color w:val="000080"/>
      <w:sz w:val="24"/>
      <w:lang w:val="fr-CA" w:eastAsia="en-US"/>
    </w:rPr>
  </w:style>
  <w:style w:type="paragraph" w:styleId="Corpsdetexte2">
    <w:name w:val="Body Text 2"/>
    <w:basedOn w:val="Normal"/>
    <w:link w:val="Corpsdetexte2Car"/>
    <w:rsid w:val="001E3A35"/>
    <w:rPr>
      <w:rFonts w:ascii="Arial" w:hAnsi="Arial"/>
    </w:rPr>
  </w:style>
  <w:style w:type="character" w:customStyle="1" w:styleId="Corpsdetexte2Car">
    <w:name w:val="Corps de texte 2 Car"/>
    <w:basedOn w:val="Policepardfaut"/>
    <w:link w:val="Corpsdetexte2"/>
    <w:rsid w:val="001E3A35"/>
    <w:rPr>
      <w:rFonts w:ascii="Arial" w:eastAsia="Times New Roman" w:hAnsi="Arial"/>
      <w:sz w:val="28"/>
      <w:lang w:val="fr-CA" w:eastAsia="en-US"/>
    </w:rPr>
  </w:style>
  <w:style w:type="paragraph" w:styleId="Corpsdetexte3">
    <w:name w:val="Body Text 3"/>
    <w:basedOn w:val="Normal"/>
    <w:link w:val="Corpsdetexte3Car"/>
    <w:rsid w:val="001E3A35"/>
    <w:pPr>
      <w:tabs>
        <w:tab w:val="left" w:pos="510"/>
        <w:tab w:val="left" w:pos="510"/>
      </w:tabs>
    </w:pPr>
    <w:rPr>
      <w:rFonts w:ascii="Arial" w:hAnsi="Arial"/>
      <w:sz w:val="20"/>
    </w:rPr>
  </w:style>
  <w:style w:type="character" w:customStyle="1" w:styleId="Corpsdetexte3Car">
    <w:name w:val="Corps de texte 3 Car"/>
    <w:basedOn w:val="Policepardfaut"/>
    <w:link w:val="Corpsdetexte3"/>
    <w:rsid w:val="001E3A35"/>
    <w:rPr>
      <w:rFonts w:ascii="Arial" w:eastAsia="Times New Roman" w:hAnsi="Arial"/>
      <w:lang w:val="fr-CA" w:eastAsia="en-US"/>
    </w:rPr>
  </w:style>
  <w:style w:type="paragraph" w:customStyle="1" w:styleId="dd">
    <w:name w:val="dd"/>
    <w:basedOn w:val="Normal"/>
    <w:autoRedefine/>
    <w:rsid w:val="001E3A35"/>
    <w:pPr>
      <w:spacing w:before="120" w:after="120"/>
      <w:ind w:left="1080"/>
    </w:pPr>
    <w:rPr>
      <w:i/>
      <w:color w:val="008000"/>
      <w:lang w:bidi="fr-FR"/>
    </w:rPr>
  </w:style>
  <w:style w:type="paragraph" w:customStyle="1" w:styleId="figlgende">
    <w:name w:val="fig légende"/>
    <w:basedOn w:val="Normal0"/>
    <w:rsid w:val="001E3A35"/>
    <w:pPr>
      <w:jc w:val="left"/>
    </w:pPr>
    <w:rPr>
      <w:color w:val="000090"/>
      <w:sz w:val="24"/>
      <w:szCs w:val="16"/>
      <w:lang w:eastAsia="fr-FR"/>
    </w:rPr>
  </w:style>
  <w:style w:type="paragraph" w:customStyle="1" w:styleId="figst">
    <w:name w:val="fig st"/>
    <w:basedOn w:val="Normal"/>
    <w:autoRedefine/>
    <w:rsid w:val="001E3A35"/>
    <w:pPr>
      <w:spacing w:before="120" w:after="120"/>
      <w:jc w:val="center"/>
    </w:pPr>
    <w:rPr>
      <w:rFonts w:cs="Arial"/>
      <w:color w:val="000090"/>
      <w:szCs w:val="16"/>
    </w:rPr>
  </w:style>
  <w:style w:type="paragraph" w:customStyle="1" w:styleId="figtitre">
    <w:name w:val="fig titre"/>
    <w:basedOn w:val="Normal"/>
    <w:autoRedefine/>
    <w:rsid w:val="001E3A35"/>
    <w:pPr>
      <w:spacing w:before="120" w:after="120"/>
      <w:jc w:val="center"/>
    </w:pPr>
    <w:rPr>
      <w:rFonts w:cs="Arial"/>
      <w:b/>
      <w:bCs/>
      <w:color w:val="000000"/>
      <w:szCs w:val="12"/>
    </w:rPr>
  </w:style>
  <w:style w:type="paragraph" w:customStyle="1" w:styleId="figtitrest">
    <w:name w:val="fig titre st"/>
    <w:basedOn w:val="figtitre"/>
    <w:autoRedefine/>
    <w:rsid w:val="001E3A35"/>
    <w:rPr>
      <w:b w:val="0"/>
      <w:color w:val="000090"/>
      <w:lang w:eastAsia="fr-FR" w:bidi="fr-FR"/>
    </w:rPr>
  </w:style>
  <w:style w:type="character" w:customStyle="1" w:styleId="NotedefinCar">
    <w:name w:val="Note de fin Car"/>
    <w:basedOn w:val="Policepardfaut"/>
    <w:link w:val="Notedefin"/>
    <w:rsid w:val="001E3A35"/>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1E3A35"/>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1E3A35"/>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1E3A35"/>
    <w:rPr>
      <w:rFonts w:ascii="Arial" w:eastAsia="Times New Roman" w:hAnsi="Arial"/>
      <w:sz w:val="28"/>
      <w:lang w:val="fr-CA" w:eastAsia="en-US"/>
    </w:rPr>
  </w:style>
  <w:style w:type="character" w:customStyle="1" w:styleId="Titre7Car">
    <w:name w:val="Titre 7 Car"/>
    <w:basedOn w:val="Policepardfaut"/>
    <w:link w:val="Titre7"/>
    <w:rsid w:val="001E3A35"/>
    <w:rPr>
      <w:rFonts w:eastAsia="Times New Roman"/>
      <w:noProof/>
      <w:lang w:val="fr-CA" w:eastAsia="en-US" w:bidi="ar-SA"/>
    </w:rPr>
  </w:style>
  <w:style w:type="character" w:customStyle="1" w:styleId="Titre8Car">
    <w:name w:val="Titre 8 Car"/>
    <w:basedOn w:val="Policepardfaut"/>
    <w:link w:val="Titre8"/>
    <w:rsid w:val="001E3A35"/>
    <w:rPr>
      <w:rFonts w:eastAsia="Times New Roman"/>
      <w:noProof/>
      <w:lang w:val="fr-CA" w:eastAsia="en-US" w:bidi="ar-SA"/>
    </w:rPr>
  </w:style>
  <w:style w:type="character" w:customStyle="1" w:styleId="Titre9Car">
    <w:name w:val="Titre 9 Car"/>
    <w:basedOn w:val="Policepardfaut"/>
    <w:link w:val="Titre9"/>
    <w:rsid w:val="001E3A35"/>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99623">
      <w:bodyDiv w:val="1"/>
      <w:marLeft w:val="0"/>
      <w:marRight w:val="0"/>
      <w:marTop w:val="0"/>
      <w:marBottom w:val="0"/>
      <w:divBdr>
        <w:top w:val="none" w:sz="0" w:space="0" w:color="auto"/>
        <w:left w:val="none" w:sz="0" w:space="0" w:color="auto"/>
        <w:bottom w:val="none" w:sz="0" w:space="0" w:color="auto"/>
        <w:right w:val="none" w:sz="0" w:space="0" w:color="auto"/>
      </w:divBdr>
      <w:divsChild>
        <w:div w:id="615134744">
          <w:marLeft w:val="0"/>
          <w:marRight w:val="0"/>
          <w:marTop w:val="0"/>
          <w:marBottom w:val="0"/>
          <w:divBdr>
            <w:top w:val="none" w:sz="0" w:space="0" w:color="auto"/>
            <w:left w:val="none" w:sz="0" w:space="0" w:color="auto"/>
            <w:bottom w:val="none" w:sz="0" w:space="0" w:color="auto"/>
            <w:right w:val="none" w:sz="0" w:space="0" w:color="auto"/>
          </w:divBdr>
          <w:divsChild>
            <w:div w:id="1199586936">
              <w:marLeft w:val="0"/>
              <w:marRight w:val="0"/>
              <w:marTop w:val="0"/>
              <w:marBottom w:val="0"/>
              <w:divBdr>
                <w:top w:val="none" w:sz="0" w:space="0" w:color="auto"/>
                <w:left w:val="none" w:sz="0" w:space="0" w:color="auto"/>
                <w:bottom w:val="none" w:sz="0" w:space="0" w:color="auto"/>
                <w:right w:val="none" w:sz="0" w:space="0" w:color="auto"/>
              </w:divBdr>
              <w:divsChild>
                <w:div w:id="9874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ninouche.veillard@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cabrolpierre@gmail.com"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classiques.uqac.ca/contemporains/Corbu_Louise/Scolarisation_des_enfants/Scolarisation_des_enfants.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4345</Words>
  <Characters>23469</Characters>
  <Application>Microsoft Office Word</Application>
  <DocSecurity>0</DocSecurity>
  <Lines>469</Lines>
  <Paragraphs>63</Paragraphs>
  <ScaleCrop>false</ScaleCrop>
  <HeadingPairs>
    <vt:vector size="2" baseType="variant">
      <vt:variant>
        <vt:lpstr>Title</vt:lpstr>
      </vt:variant>
      <vt:variant>
        <vt:i4>1</vt:i4>
      </vt:variant>
    </vt:vector>
  </HeadingPairs>
  <TitlesOfParts>
    <vt:vector size="1" baseType="lpstr">
      <vt:lpstr>“Harcèlement de rue : l’inefficacité d’une réponse purement répressive.”</vt:lpstr>
    </vt:vector>
  </TitlesOfParts>
  <Manager>Jean marie Tremblay, sociologue, bénévole, 2022</Manager>
  <Company>Les Classiques des sciences sociales</Company>
  <LinksUpToDate>false</LinksUpToDate>
  <CharactersWithSpaces>27751</CharactersWithSpaces>
  <SharedDoc>false</SharedDoc>
  <HyperlinkBase/>
  <HLinks>
    <vt:vector size="78" baseType="variant">
      <vt:variant>
        <vt:i4>3735630</vt:i4>
      </vt:variant>
      <vt:variant>
        <vt:i4>18</vt:i4>
      </vt:variant>
      <vt:variant>
        <vt:i4>0</vt:i4>
      </vt:variant>
      <vt:variant>
        <vt:i4>5</vt:i4>
      </vt:variant>
      <vt:variant>
        <vt:lpwstr>mailto:ninouche.veillard@gmail.com</vt:lpwstr>
      </vt:variant>
      <vt:variant>
        <vt:lpwstr/>
      </vt:variant>
      <vt:variant>
        <vt:i4>7209007</vt:i4>
      </vt:variant>
      <vt:variant>
        <vt:i4>15</vt:i4>
      </vt:variant>
      <vt:variant>
        <vt:i4>0</vt:i4>
      </vt:variant>
      <vt:variant>
        <vt:i4>5</vt:i4>
      </vt:variant>
      <vt:variant>
        <vt:lpwstr>mailto:cabrolpierre@gmail.com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3342442</vt:i4>
      </vt:variant>
      <vt:variant>
        <vt:i4>0</vt:i4>
      </vt:variant>
      <vt:variant>
        <vt:i4>0</vt:i4>
      </vt:variant>
      <vt:variant>
        <vt:i4>5</vt:i4>
      </vt:variant>
      <vt:variant>
        <vt:lpwstr>http://classiques.uqac.ca/contemporains/Corbu_Louise/Scolarisation_des_enfants/Scolarisation_des_enfants.html</vt:lpwstr>
      </vt:variant>
      <vt:variant>
        <vt:lpwstr/>
      </vt:variant>
      <vt:variant>
        <vt:i4>2228293</vt:i4>
      </vt:variant>
      <vt:variant>
        <vt:i4>2457</vt:i4>
      </vt:variant>
      <vt:variant>
        <vt:i4>1025</vt:i4>
      </vt:variant>
      <vt:variant>
        <vt:i4>1</vt:i4>
      </vt:variant>
      <vt:variant>
        <vt:lpwstr>css_logo_gris</vt:lpwstr>
      </vt:variant>
      <vt:variant>
        <vt:lpwstr/>
      </vt:variant>
      <vt:variant>
        <vt:i4>5111880</vt:i4>
      </vt:variant>
      <vt:variant>
        <vt:i4>2746</vt:i4>
      </vt:variant>
      <vt:variant>
        <vt:i4>1029</vt:i4>
      </vt:variant>
      <vt:variant>
        <vt:i4>1</vt:i4>
      </vt:variant>
      <vt:variant>
        <vt:lpwstr>UQAC_logo_2018</vt:lpwstr>
      </vt:variant>
      <vt:variant>
        <vt:lpwstr/>
      </vt:variant>
      <vt:variant>
        <vt:i4>4194334</vt:i4>
      </vt:variant>
      <vt:variant>
        <vt:i4>4982</vt:i4>
      </vt:variant>
      <vt:variant>
        <vt:i4>1026</vt:i4>
      </vt:variant>
      <vt:variant>
        <vt:i4>1</vt:i4>
      </vt:variant>
      <vt:variant>
        <vt:lpwstr>Boite_aux_lettres_clair</vt:lpwstr>
      </vt:variant>
      <vt:variant>
        <vt:lpwstr/>
      </vt:variant>
      <vt:variant>
        <vt:i4>1703963</vt:i4>
      </vt:variant>
      <vt:variant>
        <vt:i4>5541</vt:i4>
      </vt:variant>
      <vt:variant>
        <vt:i4>1027</vt:i4>
      </vt:variant>
      <vt:variant>
        <vt:i4>1</vt:i4>
      </vt:variant>
      <vt:variant>
        <vt:lpwstr>fait_sur_mac</vt:lpwstr>
      </vt:variant>
      <vt:variant>
        <vt:lpwstr/>
      </vt:variant>
      <vt:variant>
        <vt:i4>1638440</vt:i4>
      </vt:variant>
      <vt:variant>
        <vt:i4>5792</vt:i4>
      </vt:variant>
      <vt:variant>
        <vt:i4>1028</vt:i4>
      </vt:variant>
      <vt:variant>
        <vt:i4>1</vt:i4>
      </vt:variant>
      <vt:variant>
        <vt:lpwstr>Harcelement_de_rue_L25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“Harcèlement de rue : l’inefficacité d’une réponse purement répressive.”</dc:title>
  <dc:subject/>
  <dc:creator>par Nina Veillard et Pierre Cabrol, novembre 2022.</dc:creator>
  <cp:keywords>classiques.sc.soc@gmail.com</cp:keywords>
  <dc:description>http://classiques.uqac.ca/</dc:description>
  <cp:lastModifiedBy>jean-marie tremblay</cp:lastModifiedBy>
  <cp:revision>2</cp:revision>
  <cp:lastPrinted>2001-08-26T19:33:00Z</cp:lastPrinted>
  <dcterms:created xsi:type="dcterms:W3CDTF">2022-11-20T10:01:00Z</dcterms:created>
  <dcterms:modified xsi:type="dcterms:W3CDTF">2022-11-20T10:01:00Z</dcterms:modified>
  <cp:category>jean-marie tremblay, sociologue, fondateur, 1993.</cp:category>
</cp:coreProperties>
</file>