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00"/>
      </w:tblGrid>
      <w:tr w:rsidR="003F0EA0" w:rsidRPr="00E07116">
        <w:tc>
          <w:tcPr>
            <w:tcW w:w="9160" w:type="dxa"/>
            <w:shd w:val="clear" w:color="auto" w:fill="F0EDD3"/>
          </w:tcPr>
          <w:p w:rsidR="003F0EA0" w:rsidRPr="00E07116" w:rsidRDefault="003F0EA0" w:rsidP="003F0EA0">
            <w:pPr>
              <w:pStyle w:val="En-tte"/>
              <w:tabs>
                <w:tab w:val="clear" w:pos="4320"/>
                <w:tab w:val="clear" w:pos="8640"/>
              </w:tabs>
              <w:rPr>
                <w:rFonts w:ascii="Times New Roman" w:hAnsi="Times New Roman"/>
                <w:sz w:val="28"/>
                <w:lang w:val="en-CA"/>
              </w:rPr>
            </w:pPr>
            <w:bookmarkStart w:id="0" w:name="_GoBack"/>
            <w:bookmarkEnd w:id="0"/>
          </w:p>
          <w:p w:rsidR="003F0EA0" w:rsidRPr="00E07116" w:rsidRDefault="003F0EA0">
            <w:pPr>
              <w:ind w:firstLine="0"/>
              <w:jc w:val="center"/>
              <w:rPr>
                <w:b/>
              </w:rPr>
            </w:pPr>
          </w:p>
          <w:p w:rsidR="003F0EA0" w:rsidRDefault="003F0EA0" w:rsidP="003F0EA0">
            <w:pPr>
              <w:ind w:firstLine="0"/>
              <w:jc w:val="center"/>
              <w:rPr>
                <w:b/>
                <w:sz w:val="20"/>
              </w:rPr>
            </w:pPr>
          </w:p>
          <w:p w:rsidR="003F0EA0" w:rsidRDefault="003F0EA0" w:rsidP="003F0EA0">
            <w:pPr>
              <w:ind w:firstLine="0"/>
              <w:jc w:val="center"/>
              <w:rPr>
                <w:b/>
                <w:sz w:val="20"/>
              </w:rPr>
            </w:pPr>
          </w:p>
          <w:p w:rsidR="003F0EA0" w:rsidRDefault="003F0EA0" w:rsidP="003F0EA0">
            <w:pPr>
              <w:ind w:firstLine="0"/>
              <w:jc w:val="center"/>
              <w:rPr>
                <w:b/>
                <w:sz w:val="20"/>
              </w:rPr>
            </w:pPr>
          </w:p>
          <w:p w:rsidR="003F0EA0" w:rsidRPr="007150EF" w:rsidRDefault="003F0EA0" w:rsidP="003F0EA0">
            <w:pPr>
              <w:ind w:firstLine="0"/>
              <w:jc w:val="center"/>
              <w:rPr>
                <w:sz w:val="36"/>
              </w:rPr>
            </w:pPr>
            <w:r>
              <w:rPr>
                <w:sz w:val="36"/>
              </w:rPr>
              <w:t>Alain BIHR et Roland PFEFFERKORN</w:t>
            </w:r>
          </w:p>
          <w:p w:rsidR="003F0EA0" w:rsidRDefault="003F0EA0" w:rsidP="003F0EA0">
            <w:pPr>
              <w:ind w:firstLine="0"/>
              <w:jc w:val="center"/>
              <w:rPr>
                <w:sz w:val="20"/>
              </w:rPr>
            </w:pPr>
            <w:r>
              <w:rPr>
                <w:sz w:val="20"/>
              </w:rPr>
              <w:t xml:space="preserve">Respectivement </w:t>
            </w:r>
            <w:r w:rsidRPr="001E7979">
              <w:rPr>
                <w:sz w:val="20"/>
              </w:rPr>
              <w:t>sociologue français se revend</w:t>
            </w:r>
            <w:r>
              <w:rPr>
                <w:sz w:val="20"/>
              </w:rPr>
              <w:t>iquant du communisme libertaire,</w:t>
            </w:r>
            <w:r>
              <w:rPr>
                <w:sz w:val="20"/>
              </w:rPr>
              <w:br/>
            </w:r>
            <w:r w:rsidRPr="001E7979">
              <w:rPr>
                <w:sz w:val="20"/>
                <w:lang/>
              </w:rPr>
              <w:t xml:space="preserve">professeur des universités </w:t>
            </w:r>
            <w:r>
              <w:rPr>
                <w:sz w:val="20"/>
                <w:lang/>
              </w:rPr>
              <w:t>à l'université de Franche-Comté, d’une part,</w:t>
            </w:r>
          </w:p>
          <w:p w:rsidR="003F0EA0" w:rsidRPr="007150EF" w:rsidRDefault="003F0EA0" w:rsidP="003F0EA0">
            <w:pPr>
              <w:spacing w:after="120"/>
              <w:ind w:firstLine="0"/>
              <w:jc w:val="center"/>
              <w:rPr>
                <w:sz w:val="20"/>
              </w:rPr>
            </w:pPr>
            <w:r>
              <w:rPr>
                <w:sz w:val="20"/>
              </w:rPr>
              <w:t>et Laboratoire “Culture et sociétés en Europe”</w:t>
            </w:r>
            <w:r>
              <w:rPr>
                <w:sz w:val="20"/>
              </w:rPr>
              <w:br/>
              <w:t>(UMR du CNRS NO 7043)</w:t>
            </w:r>
            <w:r>
              <w:rPr>
                <w:sz w:val="20"/>
              </w:rPr>
              <w:br/>
              <w:t>Université Marc Bloch, Strasbourg, d’autre part.</w:t>
            </w:r>
          </w:p>
          <w:p w:rsidR="003F0EA0" w:rsidRPr="00AA0F60" w:rsidRDefault="003F0EA0" w:rsidP="003F0EA0">
            <w:pPr>
              <w:pStyle w:val="Corpsdetexte"/>
              <w:widowControl w:val="0"/>
              <w:spacing w:before="0" w:after="0"/>
              <w:rPr>
                <w:sz w:val="44"/>
              </w:rPr>
            </w:pPr>
            <w:r w:rsidRPr="00AA0F60">
              <w:rPr>
                <w:sz w:val="44"/>
              </w:rPr>
              <w:t>(</w:t>
            </w:r>
            <w:r>
              <w:rPr>
                <w:sz w:val="44"/>
              </w:rPr>
              <w:t>2001</w:t>
            </w:r>
            <w:r w:rsidRPr="00AA0F60">
              <w:rPr>
                <w:sz w:val="44"/>
              </w:rPr>
              <w:t>)</w:t>
            </w:r>
          </w:p>
          <w:p w:rsidR="003F0EA0" w:rsidRDefault="003F0EA0" w:rsidP="003F0EA0">
            <w:pPr>
              <w:pStyle w:val="Corpsdetexte"/>
              <w:widowControl w:val="0"/>
              <w:spacing w:before="0" w:after="0"/>
              <w:rPr>
                <w:color w:val="FF0000"/>
                <w:sz w:val="24"/>
              </w:rPr>
            </w:pPr>
          </w:p>
          <w:p w:rsidR="003F0EA0" w:rsidRDefault="003F0EA0" w:rsidP="003F0EA0">
            <w:pPr>
              <w:pStyle w:val="Corpsdetexte"/>
              <w:widowControl w:val="0"/>
              <w:spacing w:before="0" w:after="0"/>
              <w:rPr>
                <w:color w:val="FF0000"/>
                <w:sz w:val="24"/>
              </w:rPr>
            </w:pPr>
          </w:p>
          <w:p w:rsidR="003F0EA0" w:rsidRPr="009C23DC" w:rsidRDefault="003F0EA0" w:rsidP="003F0EA0">
            <w:pPr>
              <w:pStyle w:val="Titlest"/>
            </w:pPr>
            <w:r w:rsidRPr="009C23DC">
              <w:t>“</w:t>
            </w:r>
            <w:r w:rsidRPr="00EE256B">
              <w:rPr>
                <w:color w:val="FF0000"/>
              </w:rPr>
              <w:t>L’EXCLUSION</w:t>
            </w:r>
            <w:r w:rsidRPr="009C23DC">
              <w:t>.</w:t>
            </w:r>
            <w:r>
              <w:br/>
            </w:r>
            <w:r w:rsidRPr="00EE256B">
              <w:rPr>
                <w:i/>
                <w:color w:val="000090"/>
                <w:sz w:val="44"/>
              </w:rPr>
              <w:t>Les enjeux idéologiques et théoriques</w:t>
            </w:r>
            <w:r w:rsidRPr="00EE256B">
              <w:rPr>
                <w:i/>
                <w:color w:val="000090"/>
                <w:sz w:val="44"/>
              </w:rPr>
              <w:br/>
              <w:t>« d’un nouveau paradigme sociolog</w:t>
            </w:r>
            <w:r w:rsidRPr="00EE256B">
              <w:rPr>
                <w:i/>
                <w:color w:val="000090"/>
                <w:sz w:val="44"/>
              </w:rPr>
              <w:t>i</w:t>
            </w:r>
            <w:r w:rsidRPr="00EE256B">
              <w:rPr>
                <w:i/>
                <w:color w:val="000090"/>
                <w:sz w:val="44"/>
              </w:rPr>
              <w:t>que</w:t>
            </w:r>
            <w:r w:rsidRPr="00EE256B">
              <w:rPr>
                <w:sz w:val="44"/>
              </w:rPr>
              <w:t>.”</w:t>
            </w:r>
          </w:p>
          <w:p w:rsidR="003F0EA0" w:rsidRDefault="003F0EA0" w:rsidP="003F0EA0">
            <w:pPr>
              <w:widowControl w:val="0"/>
              <w:ind w:firstLine="0"/>
              <w:jc w:val="center"/>
            </w:pPr>
          </w:p>
          <w:p w:rsidR="003F0EA0" w:rsidRDefault="003F0EA0" w:rsidP="003F0EA0">
            <w:pPr>
              <w:widowControl w:val="0"/>
              <w:ind w:firstLine="0"/>
              <w:jc w:val="center"/>
            </w:pPr>
          </w:p>
          <w:p w:rsidR="003F0EA0" w:rsidRDefault="003F0EA0" w:rsidP="003F0EA0">
            <w:pPr>
              <w:widowControl w:val="0"/>
              <w:ind w:firstLine="0"/>
              <w:jc w:val="center"/>
            </w:pPr>
          </w:p>
          <w:p w:rsidR="003F0EA0" w:rsidRDefault="003F0EA0" w:rsidP="003F0EA0">
            <w:pPr>
              <w:widowControl w:val="0"/>
              <w:ind w:firstLine="0"/>
              <w:jc w:val="center"/>
              <w:rPr>
                <w:sz w:val="20"/>
              </w:rPr>
            </w:pPr>
          </w:p>
          <w:p w:rsidR="003F0EA0" w:rsidRPr="00384B20" w:rsidRDefault="003F0EA0">
            <w:pPr>
              <w:widowControl w:val="0"/>
              <w:ind w:firstLine="0"/>
              <w:jc w:val="center"/>
              <w:rPr>
                <w:sz w:val="20"/>
              </w:rPr>
            </w:pPr>
          </w:p>
          <w:p w:rsidR="003F0EA0" w:rsidRPr="00384B20" w:rsidRDefault="003F0EA0">
            <w:pPr>
              <w:ind w:firstLine="0"/>
              <w:jc w:val="center"/>
              <w:rPr>
                <w:sz w:val="20"/>
              </w:rPr>
            </w:pPr>
            <w:r w:rsidRPr="00083144">
              <w:rPr>
                <w:b/>
              </w:rPr>
              <w:t>LES CLASSIQUES DES SCIENCES SOCIALES</w:t>
            </w:r>
            <w:r>
              <w:br/>
              <w:t>CHICOUTIMI, QUÉBEC</w:t>
            </w:r>
            <w:r>
              <w:br/>
            </w:r>
            <w:hyperlink r:id="rId7" w:history="1">
              <w:r w:rsidRPr="00A433C0">
                <w:rPr>
                  <w:rStyle w:val="Lienhypertexte"/>
                  <w:lang/>
                </w:rPr>
                <w:t>https://classiques.uqam.ca/</w:t>
              </w:r>
            </w:hyperlink>
            <w:r>
              <w:rPr>
                <w:sz w:val="20"/>
                <w:lang/>
              </w:rPr>
              <w:t xml:space="preserve"> </w:t>
            </w:r>
          </w:p>
          <w:p w:rsidR="003F0EA0" w:rsidRPr="00E07116" w:rsidRDefault="003F0EA0">
            <w:pPr>
              <w:widowControl w:val="0"/>
              <w:ind w:firstLine="0"/>
              <w:jc w:val="both"/>
            </w:pPr>
          </w:p>
          <w:p w:rsidR="003F0EA0" w:rsidRPr="00E07116" w:rsidRDefault="003F0EA0">
            <w:pPr>
              <w:widowControl w:val="0"/>
              <w:ind w:firstLine="0"/>
              <w:jc w:val="both"/>
            </w:pPr>
          </w:p>
          <w:p w:rsidR="003F0EA0" w:rsidRPr="00E07116" w:rsidRDefault="003F0EA0">
            <w:pPr>
              <w:widowControl w:val="0"/>
              <w:ind w:firstLine="0"/>
              <w:jc w:val="both"/>
            </w:pPr>
          </w:p>
          <w:p w:rsidR="003F0EA0" w:rsidRDefault="003F0EA0">
            <w:pPr>
              <w:widowControl w:val="0"/>
              <w:ind w:firstLine="0"/>
              <w:jc w:val="both"/>
            </w:pPr>
          </w:p>
          <w:p w:rsidR="003F0EA0" w:rsidRDefault="003F0EA0">
            <w:pPr>
              <w:widowControl w:val="0"/>
              <w:ind w:firstLine="0"/>
              <w:jc w:val="both"/>
            </w:pPr>
          </w:p>
          <w:p w:rsidR="003F0EA0" w:rsidRPr="00E07116" w:rsidRDefault="003F0EA0">
            <w:pPr>
              <w:widowControl w:val="0"/>
              <w:ind w:firstLine="0"/>
              <w:jc w:val="both"/>
            </w:pPr>
          </w:p>
          <w:p w:rsidR="003F0EA0" w:rsidRDefault="003F0EA0">
            <w:pPr>
              <w:widowControl w:val="0"/>
              <w:ind w:firstLine="0"/>
              <w:jc w:val="both"/>
            </w:pPr>
          </w:p>
          <w:p w:rsidR="003F0EA0" w:rsidRPr="00E07116" w:rsidRDefault="003F0EA0">
            <w:pPr>
              <w:widowControl w:val="0"/>
              <w:ind w:firstLine="0"/>
              <w:jc w:val="both"/>
            </w:pPr>
          </w:p>
          <w:p w:rsidR="003F0EA0" w:rsidRPr="00E07116" w:rsidRDefault="003F0EA0">
            <w:pPr>
              <w:ind w:firstLine="0"/>
              <w:jc w:val="both"/>
            </w:pPr>
          </w:p>
        </w:tc>
      </w:tr>
    </w:tbl>
    <w:p w:rsidR="003F0EA0" w:rsidRDefault="003F0EA0" w:rsidP="003F0EA0">
      <w:pPr>
        <w:ind w:firstLine="0"/>
        <w:jc w:val="both"/>
      </w:pPr>
      <w:r w:rsidRPr="00E07116">
        <w:br w:type="page"/>
      </w:r>
    </w:p>
    <w:p w:rsidR="003F0EA0" w:rsidRDefault="003F0EA0" w:rsidP="003F0EA0">
      <w:pPr>
        <w:ind w:firstLine="0"/>
        <w:jc w:val="both"/>
      </w:pPr>
    </w:p>
    <w:p w:rsidR="003F0EA0" w:rsidRDefault="003F0EA0" w:rsidP="003F0EA0">
      <w:pPr>
        <w:ind w:firstLine="0"/>
        <w:jc w:val="both"/>
      </w:pPr>
    </w:p>
    <w:p w:rsidR="003F0EA0" w:rsidRDefault="003F0EA0" w:rsidP="003F0EA0">
      <w:pPr>
        <w:ind w:firstLine="0"/>
        <w:jc w:val="both"/>
      </w:pPr>
    </w:p>
    <w:p w:rsidR="003F0EA0" w:rsidRDefault="00470564" w:rsidP="003F0EA0">
      <w:pPr>
        <w:ind w:firstLine="0"/>
        <w:jc w:val="right"/>
      </w:pPr>
      <w:r>
        <w:rPr>
          <w:noProof/>
          <w:lang w:val="fr-FR" w:eastAsia="fr-FR"/>
        </w:rPr>
        <w:drawing>
          <wp:inline distT="0" distB="0" distL="0" distR="0">
            <wp:extent cx="2654300" cy="1041400"/>
            <wp:effectExtent l="25400" t="0" r="0" b="0"/>
            <wp:docPr id="1" name="Image 1" descr="css_logo_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noChangeAspect="1" noChangeArrowheads="1"/>
                    </pic:cNvPicPr>
                  </pic:nvPicPr>
                  <pic:blipFill>
                    <a:blip r:embed="rId8"/>
                    <a:srcRect/>
                    <a:stretch>
                      <a:fillRect/>
                    </a:stretch>
                  </pic:blipFill>
                  <pic:spPr bwMode="auto">
                    <a:xfrm>
                      <a:off x="0" y="0"/>
                      <a:ext cx="2654300" cy="1041400"/>
                    </a:xfrm>
                    <a:prstGeom prst="rect">
                      <a:avLst/>
                    </a:prstGeom>
                    <a:noFill/>
                    <a:ln w="9525">
                      <a:noFill/>
                      <a:miter lim="800000"/>
                      <a:headEnd/>
                      <a:tailEnd/>
                    </a:ln>
                  </pic:spPr>
                </pic:pic>
              </a:graphicData>
            </a:graphic>
          </wp:inline>
        </w:drawing>
      </w:r>
    </w:p>
    <w:p w:rsidR="003F0EA0" w:rsidRDefault="003F0EA0" w:rsidP="003F0EA0">
      <w:pPr>
        <w:ind w:firstLine="0"/>
        <w:jc w:val="right"/>
      </w:pPr>
      <w:hyperlink r:id="rId9" w:history="1">
        <w:r w:rsidRPr="00302466">
          <w:rPr>
            <w:rStyle w:val="Lienhypertexte"/>
          </w:rPr>
          <w:t>http://classiques.uqac.ca/</w:t>
        </w:r>
      </w:hyperlink>
      <w:r>
        <w:t xml:space="preserve"> </w:t>
      </w:r>
    </w:p>
    <w:p w:rsidR="003F0EA0" w:rsidRDefault="003F0EA0" w:rsidP="003F0EA0">
      <w:pPr>
        <w:ind w:firstLine="0"/>
        <w:jc w:val="both"/>
      </w:pPr>
    </w:p>
    <w:p w:rsidR="003F0EA0" w:rsidRDefault="003F0EA0" w:rsidP="003F0EA0">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de juin 2024.</w:t>
      </w:r>
    </w:p>
    <w:p w:rsidR="003F0EA0" w:rsidRDefault="003F0EA0" w:rsidP="003F0EA0">
      <w:pPr>
        <w:ind w:firstLine="0"/>
        <w:jc w:val="both"/>
      </w:pPr>
    </w:p>
    <w:p w:rsidR="003F0EA0" w:rsidRDefault="003F0EA0" w:rsidP="003F0EA0">
      <w:pPr>
        <w:ind w:firstLine="0"/>
        <w:jc w:val="both"/>
      </w:pPr>
    </w:p>
    <w:tbl>
      <w:tblPr>
        <w:tblW w:w="0" w:type="auto"/>
        <w:tblLook w:val="00BF"/>
      </w:tblPr>
      <w:tblGrid>
        <w:gridCol w:w="4030"/>
        <w:gridCol w:w="4030"/>
      </w:tblGrid>
      <w:tr w:rsidR="003F0EA0">
        <w:tc>
          <w:tcPr>
            <w:tcW w:w="4030" w:type="dxa"/>
          </w:tcPr>
          <w:p w:rsidR="003F0EA0" w:rsidRDefault="00470564" w:rsidP="003F0EA0">
            <w:pPr>
              <w:spacing w:before="120" w:after="120"/>
              <w:ind w:firstLine="0"/>
              <w:jc w:val="both"/>
            </w:pPr>
            <w:r>
              <w:rPr>
                <w:noProof/>
                <w:lang w:val="fr-FR" w:eastAsia="fr-FR"/>
              </w:rPr>
              <w:drawing>
                <wp:inline distT="0" distB="0" distL="0" distR="0">
                  <wp:extent cx="2222500" cy="901700"/>
                  <wp:effectExtent l="25400" t="0" r="0" b="0"/>
                  <wp:docPr id="2" name="Image 2" descr="UQAC_logo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noChangeAspect="1" noChangeArrowheads="1"/>
                          </pic:cNvPicPr>
                        </pic:nvPicPr>
                        <pic:blipFill>
                          <a:blip r:embed="rId10"/>
                          <a:srcRect/>
                          <a:stretch>
                            <a:fillRect/>
                          </a:stretch>
                        </pic:blipFill>
                        <pic:spPr bwMode="auto">
                          <a:xfrm>
                            <a:off x="0" y="0"/>
                            <a:ext cx="2222500" cy="901700"/>
                          </a:xfrm>
                          <a:prstGeom prst="rect">
                            <a:avLst/>
                          </a:prstGeom>
                          <a:noFill/>
                          <a:ln w="9525">
                            <a:noFill/>
                            <a:miter lim="800000"/>
                            <a:headEnd/>
                            <a:tailEnd/>
                          </a:ln>
                        </pic:spPr>
                      </pic:pic>
                    </a:graphicData>
                  </a:graphic>
                </wp:inline>
              </w:drawing>
            </w:r>
          </w:p>
        </w:tc>
        <w:tc>
          <w:tcPr>
            <w:tcW w:w="4030" w:type="dxa"/>
          </w:tcPr>
          <w:p w:rsidR="003F0EA0" w:rsidRDefault="00470564" w:rsidP="003F0EA0">
            <w:pPr>
              <w:spacing w:before="120" w:after="120"/>
              <w:ind w:firstLine="0"/>
              <w:jc w:val="both"/>
            </w:pPr>
            <w:r>
              <w:rPr>
                <w:noProof/>
                <w:lang w:val="fr-FR" w:eastAsia="fr-FR"/>
              </w:rPr>
              <w:drawing>
                <wp:inline distT="0" distB="0" distL="0" distR="0">
                  <wp:extent cx="1447800" cy="584200"/>
                  <wp:effectExtent l="25400" t="0" r="0" b="0"/>
                  <wp:docPr id="3" name="Image 3" descr="UQA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QAM_logo"/>
                          <pic:cNvPicPr>
                            <a:picLocks noChangeAspect="1" noChangeArrowheads="1"/>
                          </pic:cNvPicPr>
                        </pic:nvPicPr>
                        <pic:blipFill>
                          <a:blip r:embed="rId11"/>
                          <a:srcRect/>
                          <a:stretch>
                            <a:fillRect/>
                          </a:stretch>
                        </pic:blipFill>
                        <pic:spPr bwMode="auto">
                          <a:xfrm>
                            <a:off x="0" y="0"/>
                            <a:ext cx="1447800" cy="584200"/>
                          </a:xfrm>
                          <a:prstGeom prst="rect">
                            <a:avLst/>
                          </a:prstGeom>
                          <a:noFill/>
                          <a:ln w="9525">
                            <a:noFill/>
                            <a:miter lim="800000"/>
                            <a:headEnd/>
                            <a:tailEnd/>
                          </a:ln>
                        </pic:spPr>
                      </pic:pic>
                    </a:graphicData>
                  </a:graphic>
                </wp:inline>
              </w:drawing>
            </w:r>
          </w:p>
        </w:tc>
      </w:tr>
      <w:tr w:rsidR="003F0EA0" w:rsidRPr="00B67BF4">
        <w:tc>
          <w:tcPr>
            <w:tcW w:w="4030" w:type="dxa"/>
          </w:tcPr>
          <w:p w:rsidR="003F0EA0" w:rsidRPr="00B67BF4" w:rsidRDefault="003F0EA0" w:rsidP="003F0EA0">
            <w:pPr>
              <w:spacing w:before="120" w:after="120"/>
              <w:ind w:firstLine="0"/>
              <w:jc w:val="both"/>
              <w:rPr>
                <w:sz w:val="24"/>
              </w:rPr>
            </w:pPr>
            <w:hyperlink r:id="rId12" w:history="1">
              <w:r w:rsidRPr="00B67BF4">
                <w:rPr>
                  <w:rStyle w:val="Lienhypertexte"/>
                  <w:sz w:val="24"/>
                </w:rPr>
                <w:t>http://bibliotheque.uqac.ca/</w:t>
              </w:r>
            </w:hyperlink>
            <w:r w:rsidRPr="00B67BF4">
              <w:rPr>
                <w:sz w:val="24"/>
              </w:rPr>
              <w:t xml:space="preserve"> </w:t>
            </w:r>
          </w:p>
        </w:tc>
        <w:tc>
          <w:tcPr>
            <w:tcW w:w="4030" w:type="dxa"/>
          </w:tcPr>
          <w:p w:rsidR="003F0EA0" w:rsidRPr="00B67BF4" w:rsidRDefault="003F0EA0" w:rsidP="003F0EA0">
            <w:pPr>
              <w:spacing w:before="120" w:after="120"/>
              <w:ind w:firstLine="0"/>
              <w:jc w:val="both"/>
              <w:rPr>
                <w:sz w:val="24"/>
              </w:rPr>
            </w:pPr>
            <w:hyperlink r:id="rId13" w:history="1">
              <w:r w:rsidRPr="00B67BF4">
                <w:rPr>
                  <w:rStyle w:val="Lienhypertexte"/>
                  <w:sz w:val="24"/>
                </w:rPr>
                <w:t>https://uqam.ca/</w:t>
              </w:r>
            </w:hyperlink>
            <w:r w:rsidRPr="00B67BF4">
              <w:rPr>
                <w:sz w:val="24"/>
              </w:rPr>
              <w:t xml:space="preserve"> </w:t>
            </w:r>
          </w:p>
        </w:tc>
      </w:tr>
    </w:tbl>
    <w:p w:rsidR="003F0EA0" w:rsidRDefault="003F0EA0" w:rsidP="003F0EA0">
      <w:pPr>
        <w:ind w:firstLine="0"/>
        <w:jc w:val="both"/>
      </w:pPr>
    </w:p>
    <w:p w:rsidR="003F0EA0" w:rsidRDefault="003F0EA0" w:rsidP="003F0EA0">
      <w:pPr>
        <w:ind w:firstLine="0"/>
        <w:jc w:val="both"/>
      </w:pPr>
    </w:p>
    <w:p w:rsidR="003F0EA0" w:rsidRDefault="003F0EA0" w:rsidP="003F0EA0">
      <w:pPr>
        <w:ind w:firstLine="0"/>
        <w:jc w:val="both"/>
      </w:pPr>
      <w:r>
        <w:t>L’UQÀM assure à partir du mois de septembre 2024 la pérennité des Classiques des scie</w:t>
      </w:r>
      <w:r>
        <w:t>n</w:t>
      </w:r>
      <w:r>
        <w:t>ces sociales et son développement futur, bien sûr avec les bén</w:t>
      </w:r>
      <w:r>
        <w:t>é</w:t>
      </w:r>
      <w:r>
        <w:t>voles des Classiques des sciences sociales.</w:t>
      </w:r>
    </w:p>
    <w:p w:rsidR="003F0EA0" w:rsidRDefault="003F0EA0" w:rsidP="003F0EA0">
      <w:pPr>
        <w:ind w:firstLine="0"/>
        <w:jc w:val="both"/>
      </w:pPr>
    </w:p>
    <w:p w:rsidR="003F0EA0" w:rsidRDefault="003F0EA0" w:rsidP="003F0EA0">
      <w:pPr>
        <w:ind w:firstLine="0"/>
        <w:jc w:val="both"/>
      </w:pPr>
    </w:p>
    <w:p w:rsidR="003F0EA0" w:rsidRDefault="003F0EA0" w:rsidP="003F0EA0">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rsidR="003F0EA0" w:rsidRPr="00E07116" w:rsidRDefault="003F0EA0" w:rsidP="003F0EA0">
      <w:pPr>
        <w:ind w:firstLine="0"/>
        <w:jc w:val="both"/>
        <w:rPr>
          <w:szCs w:val="32"/>
        </w:rPr>
      </w:pPr>
      <w:r w:rsidRPr="00E07116">
        <w:br w:type="page"/>
      </w:r>
    </w:p>
    <w:p w:rsidR="003F0EA0" w:rsidRPr="00431906" w:rsidRDefault="003F0EA0">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rsidR="003F0EA0" w:rsidRPr="00E07116" w:rsidRDefault="003F0EA0">
      <w:pPr>
        <w:widowControl w:val="0"/>
        <w:autoSpaceDE w:val="0"/>
        <w:autoSpaceDN w:val="0"/>
        <w:adjustRightInd w:val="0"/>
        <w:rPr>
          <w:szCs w:val="32"/>
        </w:rPr>
      </w:pPr>
    </w:p>
    <w:p w:rsidR="003F0EA0" w:rsidRPr="00E07116" w:rsidRDefault="003F0EA0">
      <w:pPr>
        <w:widowControl w:val="0"/>
        <w:autoSpaceDE w:val="0"/>
        <w:autoSpaceDN w:val="0"/>
        <w:adjustRightInd w:val="0"/>
        <w:jc w:val="both"/>
        <w:rPr>
          <w:color w:val="1C1C1C"/>
          <w:szCs w:val="26"/>
        </w:rPr>
      </w:pPr>
    </w:p>
    <w:p w:rsidR="003F0EA0" w:rsidRPr="00E07116" w:rsidRDefault="003F0EA0">
      <w:pPr>
        <w:widowControl w:val="0"/>
        <w:autoSpaceDE w:val="0"/>
        <w:autoSpaceDN w:val="0"/>
        <w:adjustRightInd w:val="0"/>
        <w:jc w:val="both"/>
        <w:rPr>
          <w:color w:val="1C1C1C"/>
          <w:szCs w:val="26"/>
        </w:rPr>
      </w:pPr>
    </w:p>
    <w:p w:rsidR="003F0EA0" w:rsidRPr="00E07116" w:rsidRDefault="003F0EA0">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rsidR="003F0EA0" w:rsidRPr="00E07116" w:rsidRDefault="003F0EA0">
      <w:pPr>
        <w:widowControl w:val="0"/>
        <w:autoSpaceDE w:val="0"/>
        <w:autoSpaceDN w:val="0"/>
        <w:adjustRightInd w:val="0"/>
        <w:jc w:val="both"/>
        <w:rPr>
          <w:color w:val="1C1C1C"/>
          <w:szCs w:val="26"/>
        </w:rPr>
      </w:pPr>
    </w:p>
    <w:p w:rsidR="003F0EA0" w:rsidRPr="00E07116" w:rsidRDefault="003F0EA0" w:rsidP="003F0EA0">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rsidR="003F0EA0" w:rsidRPr="00E07116" w:rsidRDefault="003F0EA0" w:rsidP="003F0EA0">
      <w:pPr>
        <w:widowControl w:val="0"/>
        <w:autoSpaceDE w:val="0"/>
        <w:autoSpaceDN w:val="0"/>
        <w:adjustRightInd w:val="0"/>
        <w:jc w:val="both"/>
        <w:rPr>
          <w:color w:val="1C1C1C"/>
          <w:szCs w:val="26"/>
        </w:rPr>
      </w:pPr>
    </w:p>
    <w:p w:rsidR="003F0EA0" w:rsidRPr="00E07116" w:rsidRDefault="003F0EA0" w:rsidP="003F0EA0">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3F0EA0" w:rsidRPr="00E07116" w:rsidRDefault="003F0EA0" w:rsidP="003F0EA0">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3F0EA0" w:rsidRPr="00E07116" w:rsidRDefault="003F0EA0" w:rsidP="003F0EA0">
      <w:pPr>
        <w:widowControl w:val="0"/>
        <w:autoSpaceDE w:val="0"/>
        <w:autoSpaceDN w:val="0"/>
        <w:adjustRightInd w:val="0"/>
        <w:jc w:val="both"/>
        <w:rPr>
          <w:color w:val="1C1C1C"/>
          <w:szCs w:val="26"/>
        </w:rPr>
      </w:pPr>
    </w:p>
    <w:p w:rsidR="003F0EA0" w:rsidRPr="00E07116" w:rsidRDefault="003F0EA0">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3F0EA0" w:rsidRPr="00E07116" w:rsidRDefault="003F0EA0">
      <w:pPr>
        <w:widowControl w:val="0"/>
        <w:autoSpaceDE w:val="0"/>
        <w:autoSpaceDN w:val="0"/>
        <w:adjustRightInd w:val="0"/>
        <w:jc w:val="both"/>
        <w:rPr>
          <w:color w:val="1C1C1C"/>
          <w:szCs w:val="26"/>
        </w:rPr>
      </w:pPr>
    </w:p>
    <w:p w:rsidR="003F0EA0" w:rsidRPr="00E07116" w:rsidRDefault="003F0EA0">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rsidR="003F0EA0" w:rsidRPr="00E07116" w:rsidRDefault="003F0EA0">
      <w:pPr>
        <w:rPr>
          <w:b/>
          <w:color w:val="1C1C1C"/>
          <w:szCs w:val="26"/>
        </w:rPr>
      </w:pPr>
    </w:p>
    <w:p w:rsidR="003F0EA0" w:rsidRPr="00E07116" w:rsidRDefault="003F0EA0">
      <w:pPr>
        <w:rPr>
          <w:b/>
          <w:color w:val="1C1C1C"/>
          <w:szCs w:val="26"/>
        </w:rPr>
      </w:pPr>
      <w:r w:rsidRPr="00E07116">
        <w:rPr>
          <w:b/>
          <w:color w:val="1C1C1C"/>
          <w:szCs w:val="26"/>
        </w:rPr>
        <w:t>L'accès à notre travail est libre et gratuit à tous les utilisateurs. C'est notre mission.</w:t>
      </w:r>
    </w:p>
    <w:p w:rsidR="003F0EA0" w:rsidRPr="00E07116" w:rsidRDefault="003F0EA0">
      <w:pPr>
        <w:rPr>
          <w:b/>
          <w:color w:val="1C1C1C"/>
          <w:szCs w:val="26"/>
        </w:rPr>
      </w:pPr>
    </w:p>
    <w:p w:rsidR="003F0EA0" w:rsidRPr="00E07116" w:rsidRDefault="003F0EA0">
      <w:pPr>
        <w:rPr>
          <w:color w:val="1C1C1C"/>
          <w:szCs w:val="26"/>
        </w:rPr>
      </w:pPr>
      <w:r w:rsidRPr="00E07116">
        <w:rPr>
          <w:color w:val="1C1C1C"/>
          <w:szCs w:val="26"/>
        </w:rPr>
        <w:t>Jean-Marie Tremblay, sociologue</w:t>
      </w:r>
    </w:p>
    <w:p w:rsidR="003F0EA0" w:rsidRPr="00E07116" w:rsidRDefault="003F0EA0">
      <w:pPr>
        <w:rPr>
          <w:color w:val="1C1C1C"/>
          <w:szCs w:val="26"/>
        </w:rPr>
      </w:pPr>
      <w:r w:rsidRPr="00E07116">
        <w:rPr>
          <w:color w:val="1C1C1C"/>
          <w:szCs w:val="26"/>
        </w:rPr>
        <w:t>Fondateur et Président-directeur général,</w:t>
      </w:r>
    </w:p>
    <w:p w:rsidR="003F0EA0" w:rsidRPr="00E07116" w:rsidRDefault="003F0EA0">
      <w:pPr>
        <w:rPr>
          <w:color w:val="000080"/>
        </w:rPr>
      </w:pPr>
      <w:r w:rsidRPr="00E07116">
        <w:rPr>
          <w:color w:val="000080"/>
          <w:szCs w:val="26"/>
        </w:rPr>
        <w:t>LES CLASSIQUES DES SCIENCES SOCIALES.</w:t>
      </w:r>
    </w:p>
    <w:p w:rsidR="003F0EA0" w:rsidRPr="00CF4C8E" w:rsidRDefault="003F0EA0" w:rsidP="003F0EA0">
      <w:pPr>
        <w:ind w:firstLine="0"/>
        <w:jc w:val="both"/>
        <w:rPr>
          <w:sz w:val="24"/>
          <w:lang/>
        </w:rPr>
      </w:pPr>
      <w:r>
        <w:br w:type="page"/>
      </w:r>
      <w:r w:rsidRPr="00CF4C8E">
        <w:rPr>
          <w:sz w:val="24"/>
          <w:lang/>
        </w:rPr>
        <w:t>Un document produit en version numérique par Jean-Marie Tremblay, bénévole, professeur associé, Université du Québec à Chicoutimi</w:t>
      </w:r>
    </w:p>
    <w:p w:rsidR="003F0EA0" w:rsidRPr="00CF4C8E" w:rsidRDefault="003F0EA0" w:rsidP="003F0EA0">
      <w:pPr>
        <w:ind w:firstLine="0"/>
        <w:jc w:val="both"/>
        <w:rPr>
          <w:sz w:val="24"/>
          <w:lang/>
        </w:rPr>
      </w:pPr>
      <w:r w:rsidRPr="00CF4C8E">
        <w:rPr>
          <w:sz w:val="24"/>
          <w:lang/>
        </w:rPr>
        <w:t xml:space="preserve">Courriel: </w:t>
      </w:r>
      <w:hyperlink r:id="rId14" w:history="1">
        <w:r w:rsidRPr="000C0AE1">
          <w:rPr>
            <w:rStyle w:val="Lienhypertexte"/>
            <w:sz w:val="24"/>
            <w:lang/>
          </w:rPr>
          <w:t>classiques.sc.soc@gmail.com</w:t>
        </w:r>
      </w:hyperlink>
      <w:r>
        <w:rPr>
          <w:sz w:val="24"/>
          <w:lang/>
        </w:rPr>
        <w:t xml:space="preserve"> </w:t>
      </w:r>
      <w:r w:rsidRPr="00CF4C8E">
        <w:rPr>
          <w:sz w:val="24"/>
          <w:lang/>
        </w:rPr>
        <w:t xml:space="preserve"> </w:t>
      </w:r>
    </w:p>
    <w:p w:rsidR="003F0EA0" w:rsidRPr="00CF4C8E" w:rsidRDefault="003F0EA0" w:rsidP="003F0EA0">
      <w:pPr>
        <w:ind w:left="20" w:hanging="20"/>
        <w:jc w:val="both"/>
        <w:rPr>
          <w:sz w:val="24"/>
        </w:rPr>
      </w:pPr>
      <w:r w:rsidRPr="00CF4C8E">
        <w:rPr>
          <w:sz w:val="24"/>
          <w:lang/>
        </w:rPr>
        <w:t xml:space="preserve">Site web pédagogique : </w:t>
      </w:r>
      <w:hyperlink r:id="rId15" w:history="1">
        <w:r w:rsidRPr="00CF4C8E">
          <w:rPr>
            <w:rStyle w:val="Lienhypertexte"/>
            <w:sz w:val="24"/>
            <w:lang/>
          </w:rPr>
          <w:t>http://jmt-sociologue.uqac.ca/</w:t>
        </w:r>
      </w:hyperlink>
    </w:p>
    <w:p w:rsidR="003F0EA0" w:rsidRDefault="003F0EA0" w:rsidP="003F0EA0">
      <w:pPr>
        <w:ind w:firstLine="0"/>
        <w:rPr>
          <w:sz w:val="24"/>
        </w:rPr>
      </w:pPr>
    </w:p>
    <w:p w:rsidR="003F0EA0" w:rsidRPr="00CF4C8E" w:rsidRDefault="003F0EA0" w:rsidP="003F0EA0">
      <w:pPr>
        <w:ind w:firstLine="0"/>
        <w:jc w:val="both"/>
        <w:rPr>
          <w:sz w:val="24"/>
        </w:rPr>
      </w:pPr>
      <w:r w:rsidRPr="00CF4C8E">
        <w:rPr>
          <w:sz w:val="24"/>
        </w:rPr>
        <w:t>à partir du texte de :</w:t>
      </w:r>
    </w:p>
    <w:p w:rsidR="003F0EA0" w:rsidRDefault="003F0EA0" w:rsidP="003F0EA0">
      <w:pPr>
        <w:ind w:firstLine="0"/>
        <w:rPr>
          <w:sz w:val="24"/>
        </w:rPr>
      </w:pPr>
    </w:p>
    <w:p w:rsidR="003F0EA0" w:rsidRDefault="003F0EA0" w:rsidP="003F0EA0">
      <w:pPr>
        <w:ind w:firstLine="0"/>
        <w:rPr>
          <w:sz w:val="24"/>
        </w:rPr>
      </w:pPr>
    </w:p>
    <w:p w:rsidR="003F0EA0" w:rsidRPr="0012782F" w:rsidRDefault="003F0EA0" w:rsidP="003F0EA0">
      <w:pPr>
        <w:ind w:right="720" w:firstLine="0"/>
      </w:pPr>
      <w:r>
        <w:t>Alain BIHR et Roland PFEFFERKORN</w:t>
      </w:r>
    </w:p>
    <w:p w:rsidR="003F0EA0" w:rsidRDefault="003F0EA0" w:rsidP="003F0EA0">
      <w:pPr>
        <w:ind w:right="720" w:firstLine="0"/>
        <w:rPr>
          <w:sz w:val="24"/>
        </w:rPr>
      </w:pPr>
    </w:p>
    <w:p w:rsidR="003F0EA0" w:rsidRPr="00EE256B" w:rsidRDefault="003F0EA0" w:rsidP="003F0EA0">
      <w:pPr>
        <w:ind w:firstLine="0"/>
        <w:rPr>
          <w:b/>
          <w:i/>
        </w:rPr>
      </w:pPr>
      <w:r w:rsidRPr="00EE256B">
        <w:rPr>
          <w:b/>
          <w:i/>
        </w:rPr>
        <w:t>“L’EXCLUSION.</w:t>
      </w:r>
      <w:r>
        <w:rPr>
          <w:b/>
          <w:i/>
        </w:rPr>
        <w:t xml:space="preserve"> </w:t>
      </w:r>
      <w:r w:rsidRPr="00EE256B">
        <w:rPr>
          <w:b/>
          <w:i/>
        </w:rPr>
        <w:t>Les enjeux idéologiques et théoriques</w:t>
      </w:r>
      <w:r>
        <w:rPr>
          <w:b/>
          <w:i/>
        </w:rPr>
        <w:t xml:space="preserve"> </w:t>
      </w:r>
      <w:r w:rsidRPr="00EE256B">
        <w:rPr>
          <w:b/>
          <w:i/>
        </w:rPr>
        <w:t>« d’un nouveau paradigme sociologique.”</w:t>
      </w:r>
    </w:p>
    <w:p w:rsidR="003F0EA0" w:rsidRPr="007150EF" w:rsidRDefault="003F0EA0" w:rsidP="003F0EA0">
      <w:pPr>
        <w:ind w:firstLine="0"/>
        <w:rPr>
          <w:b/>
          <w:i/>
        </w:rPr>
      </w:pPr>
    </w:p>
    <w:p w:rsidR="003F0EA0" w:rsidRPr="00D45CA6" w:rsidRDefault="003F0EA0" w:rsidP="003F0EA0">
      <w:pPr>
        <w:ind w:firstLine="0"/>
        <w:rPr>
          <w:b/>
          <w:i/>
          <w:sz w:val="24"/>
        </w:rPr>
      </w:pPr>
    </w:p>
    <w:p w:rsidR="003F0EA0" w:rsidRPr="0058603D" w:rsidRDefault="003F0EA0" w:rsidP="003F0EA0">
      <w:pPr>
        <w:ind w:right="720" w:firstLine="0"/>
        <w:rPr>
          <w:sz w:val="24"/>
        </w:rPr>
      </w:pPr>
    </w:p>
    <w:p w:rsidR="003F0EA0" w:rsidRPr="006C30E0" w:rsidRDefault="003F0EA0" w:rsidP="003F0EA0">
      <w:pPr>
        <w:ind w:left="20" w:hanging="20"/>
        <w:jc w:val="both"/>
      </w:pPr>
      <w:r>
        <w:t xml:space="preserve">In </w:t>
      </w:r>
      <w:r>
        <w:rPr>
          <w:b/>
          <w:i/>
          <w:color w:val="FF0000"/>
        </w:rPr>
        <w:t>Revue des sciences sociales</w:t>
      </w:r>
      <w:r>
        <w:t>, no 28, 2001, pp. 123-128.</w:t>
      </w:r>
    </w:p>
    <w:p w:rsidR="003F0EA0" w:rsidRPr="00384B20" w:rsidRDefault="003F0EA0" w:rsidP="003F0EA0">
      <w:pPr>
        <w:jc w:val="both"/>
        <w:rPr>
          <w:sz w:val="24"/>
        </w:rPr>
      </w:pPr>
    </w:p>
    <w:p w:rsidR="003F0EA0" w:rsidRPr="00384B20" w:rsidRDefault="003F0EA0" w:rsidP="003F0EA0">
      <w:pPr>
        <w:jc w:val="both"/>
        <w:rPr>
          <w:sz w:val="24"/>
        </w:rPr>
      </w:pPr>
    </w:p>
    <w:p w:rsidR="003F0EA0" w:rsidRPr="00384B20" w:rsidRDefault="003F0EA0" w:rsidP="003F0EA0">
      <w:pPr>
        <w:ind w:left="20"/>
        <w:jc w:val="both"/>
        <w:rPr>
          <w:sz w:val="24"/>
        </w:rPr>
      </w:pPr>
      <w:r>
        <w:rPr>
          <w:sz w:val="24"/>
        </w:rPr>
        <w:t>Roland Pfefferkorn nous a accordé, le 5 janvier 2017, son autorisation pour la diffusion en libre accès à tous de tous ses articles dans Les Classiques des scie</w:t>
      </w:r>
      <w:r>
        <w:rPr>
          <w:sz w:val="24"/>
        </w:rPr>
        <w:t>n</w:t>
      </w:r>
      <w:r>
        <w:rPr>
          <w:sz w:val="24"/>
        </w:rPr>
        <w:t>ces soci</w:t>
      </w:r>
      <w:r>
        <w:rPr>
          <w:sz w:val="24"/>
        </w:rPr>
        <w:t>a</w:t>
      </w:r>
      <w:r>
        <w:rPr>
          <w:sz w:val="24"/>
        </w:rPr>
        <w:t>les.</w:t>
      </w:r>
    </w:p>
    <w:p w:rsidR="003F0EA0" w:rsidRPr="00384B20" w:rsidRDefault="003F0EA0" w:rsidP="003F0EA0">
      <w:pPr>
        <w:jc w:val="both"/>
        <w:rPr>
          <w:sz w:val="24"/>
        </w:rPr>
      </w:pPr>
    </w:p>
    <w:p w:rsidR="003F0EA0" w:rsidRDefault="00470564" w:rsidP="003F0EA0">
      <w:pPr>
        <w:tabs>
          <w:tab w:val="left" w:pos="3150"/>
        </w:tabs>
        <w:ind w:firstLine="0"/>
        <w:rPr>
          <w:sz w:val="24"/>
        </w:rPr>
      </w:pPr>
      <w:r>
        <w:rPr>
          <w:noProof/>
          <w:sz w:val="24"/>
          <w:lang w:val="fr-FR" w:eastAsia="fr-FR"/>
        </w:rPr>
        <w:drawing>
          <wp:inline distT="0" distB="0" distL="0" distR="0">
            <wp:extent cx="254000" cy="254000"/>
            <wp:effectExtent l="25400" t="0" r="0" b="0"/>
            <wp:docPr id="4" name="Image 3" descr="Boite_aux_lettres_cl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Boite_aux_lettres_clair"/>
                    <pic:cNvPicPr>
                      <a:picLocks noChangeAspect="1" noChangeArrowheads="1"/>
                    </pic:cNvPicPr>
                  </pic:nvPicPr>
                  <pic:blipFill>
                    <a:blip r:embed="rId16"/>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003F0EA0" w:rsidRPr="00384B20">
        <w:rPr>
          <w:sz w:val="24"/>
        </w:rPr>
        <w:t xml:space="preserve"> Courriels : </w:t>
      </w:r>
      <w:r w:rsidR="003F0EA0" w:rsidRPr="00ED50F9">
        <w:rPr>
          <w:sz w:val="24"/>
        </w:rPr>
        <w:t xml:space="preserve">Roland PFEFFERKORN: </w:t>
      </w:r>
      <w:hyperlink r:id="rId17" w:history="1">
        <w:r w:rsidR="003F0EA0" w:rsidRPr="00C36275">
          <w:rPr>
            <w:rStyle w:val="Lienhypertexte"/>
            <w:sz w:val="24"/>
          </w:rPr>
          <w:t>pfefferkroland@aol.com</w:t>
        </w:r>
      </w:hyperlink>
      <w:r w:rsidR="003F0EA0">
        <w:rPr>
          <w:sz w:val="24"/>
        </w:rPr>
        <w:t xml:space="preserve"> </w:t>
      </w:r>
      <w:r w:rsidR="003F0EA0" w:rsidRPr="00ED50F9">
        <w:rPr>
          <w:sz w:val="24"/>
        </w:rPr>
        <w:t xml:space="preserve"> ou </w:t>
      </w:r>
      <w:hyperlink r:id="rId18" w:history="1">
        <w:r w:rsidR="003F0EA0" w:rsidRPr="00C36275">
          <w:rPr>
            <w:rStyle w:val="Lienhypertexte"/>
            <w:sz w:val="24"/>
          </w:rPr>
          <w:t>Roland.Pfefferkorn@unistra.fr</w:t>
        </w:r>
      </w:hyperlink>
      <w:r w:rsidR="003F0EA0" w:rsidRPr="00ED50F9">
        <w:rPr>
          <w:sz w:val="24"/>
        </w:rPr>
        <w:t>.</w:t>
      </w:r>
      <w:r w:rsidR="003F0EA0">
        <w:rPr>
          <w:sz w:val="24"/>
        </w:rPr>
        <w:t xml:space="preserve"> </w:t>
      </w:r>
    </w:p>
    <w:p w:rsidR="003F0EA0" w:rsidRDefault="003F0EA0" w:rsidP="003F0EA0">
      <w:pPr>
        <w:ind w:firstLine="0"/>
        <w:jc w:val="both"/>
        <w:rPr>
          <w:sz w:val="24"/>
        </w:rPr>
      </w:pPr>
      <w:r w:rsidRPr="001E7979">
        <w:rPr>
          <w:sz w:val="24"/>
        </w:rPr>
        <w:t>Alain Bi</w:t>
      </w:r>
      <w:r>
        <w:rPr>
          <w:sz w:val="24"/>
        </w:rPr>
        <w:t xml:space="preserve">hr : </w:t>
      </w:r>
      <w:hyperlink r:id="rId19" w:history="1">
        <w:r w:rsidRPr="00AB0E79">
          <w:rPr>
            <w:rStyle w:val="Lienhypertexte"/>
            <w:sz w:val="24"/>
          </w:rPr>
          <w:t>alainbihr09@gmail.com</w:t>
        </w:r>
      </w:hyperlink>
      <w:r>
        <w:rPr>
          <w:sz w:val="24"/>
        </w:rPr>
        <w:t xml:space="preserve"> </w:t>
      </w:r>
    </w:p>
    <w:p w:rsidR="003F0EA0" w:rsidRPr="00384B20" w:rsidRDefault="003F0EA0" w:rsidP="003F0EA0">
      <w:pPr>
        <w:ind w:left="20"/>
        <w:jc w:val="both"/>
        <w:rPr>
          <w:sz w:val="24"/>
        </w:rPr>
      </w:pPr>
    </w:p>
    <w:p w:rsidR="003F0EA0" w:rsidRPr="00384B20" w:rsidRDefault="003F0EA0">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3F0EA0" w:rsidRPr="00384B20" w:rsidRDefault="003F0EA0">
      <w:pPr>
        <w:ind w:right="1800" w:firstLine="0"/>
        <w:jc w:val="both"/>
        <w:rPr>
          <w:sz w:val="24"/>
        </w:rPr>
      </w:pPr>
    </w:p>
    <w:p w:rsidR="003F0EA0" w:rsidRPr="00384B20" w:rsidRDefault="003F0EA0" w:rsidP="003F0EA0">
      <w:pPr>
        <w:ind w:left="360" w:right="360" w:firstLine="0"/>
        <w:jc w:val="both"/>
        <w:rPr>
          <w:sz w:val="24"/>
        </w:rPr>
      </w:pPr>
      <w:r w:rsidRPr="00384B20">
        <w:rPr>
          <w:sz w:val="24"/>
        </w:rPr>
        <w:t>Pour le texte: Times New Roman, 14 points.</w:t>
      </w:r>
    </w:p>
    <w:p w:rsidR="003F0EA0" w:rsidRPr="00384B20" w:rsidRDefault="003F0EA0" w:rsidP="003F0EA0">
      <w:pPr>
        <w:ind w:left="360" w:right="360" w:firstLine="0"/>
        <w:jc w:val="both"/>
        <w:rPr>
          <w:sz w:val="24"/>
        </w:rPr>
      </w:pPr>
      <w:r w:rsidRPr="00384B20">
        <w:rPr>
          <w:sz w:val="24"/>
        </w:rPr>
        <w:t>Pour les notes de bas de page : Times New Roman, 12 points.</w:t>
      </w:r>
    </w:p>
    <w:p w:rsidR="003F0EA0" w:rsidRPr="00384B20" w:rsidRDefault="003F0EA0">
      <w:pPr>
        <w:ind w:left="360" w:right="1800" w:firstLine="0"/>
        <w:jc w:val="both"/>
        <w:rPr>
          <w:sz w:val="24"/>
        </w:rPr>
      </w:pPr>
    </w:p>
    <w:p w:rsidR="003F0EA0" w:rsidRPr="00384B20" w:rsidRDefault="003F0EA0">
      <w:pPr>
        <w:ind w:right="360" w:firstLine="0"/>
        <w:jc w:val="both"/>
        <w:rPr>
          <w:sz w:val="24"/>
        </w:rPr>
      </w:pPr>
      <w:r w:rsidRPr="00384B20">
        <w:rPr>
          <w:sz w:val="24"/>
        </w:rPr>
        <w:t>Édition électronique réalisée avec le traitement de textes Microsoft Word 2008 pour Macintosh.</w:t>
      </w:r>
    </w:p>
    <w:p w:rsidR="003F0EA0" w:rsidRPr="00384B20" w:rsidRDefault="003F0EA0">
      <w:pPr>
        <w:ind w:right="1800" w:firstLine="0"/>
        <w:jc w:val="both"/>
        <w:rPr>
          <w:sz w:val="24"/>
        </w:rPr>
      </w:pPr>
    </w:p>
    <w:p w:rsidR="003F0EA0" w:rsidRPr="00384B20" w:rsidRDefault="003F0EA0" w:rsidP="003F0EA0">
      <w:pPr>
        <w:ind w:right="540" w:firstLine="0"/>
        <w:jc w:val="both"/>
        <w:rPr>
          <w:sz w:val="24"/>
        </w:rPr>
      </w:pPr>
      <w:r w:rsidRPr="00384B20">
        <w:rPr>
          <w:sz w:val="24"/>
        </w:rPr>
        <w:t>Mise en page sur papier format : LETTRE US, 8.5’’ x 11’’.</w:t>
      </w:r>
    </w:p>
    <w:p w:rsidR="003F0EA0" w:rsidRPr="00384B20" w:rsidRDefault="003F0EA0">
      <w:pPr>
        <w:ind w:right="1800" w:firstLine="0"/>
        <w:jc w:val="both"/>
        <w:rPr>
          <w:sz w:val="24"/>
        </w:rPr>
      </w:pPr>
    </w:p>
    <w:p w:rsidR="003F0EA0" w:rsidRPr="00384B20" w:rsidRDefault="003F0EA0" w:rsidP="003F0EA0">
      <w:pPr>
        <w:ind w:firstLine="0"/>
        <w:jc w:val="both"/>
        <w:rPr>
          <w:sz w:val="24"/>
        </w:rPr>
      </w:pPr>
      <w:r w:rsidRPr="00384B20">
        <w:rPr>
          <w:sz w:val="24"/>
        </w:rPr>
        <w:t xml:space="preserve">Édition numérique réalisée le </w:t>
      </w:r>
      <w:r w:rsidR="00B77B21">
        <w:rPr>
          <w:sz w:val="24"/>
        </w:rPr>
        <w:t>19 avril 2025</w:t>
      </w:r>
      <w:r>
        <w:rPr>
          <w:sz w:val="24"/>
        </w:rPr>
        <w:t xml:space="preserve"> à Chicoutimi</w:t>
      </w:r>
      <w:r w:rsidRPr="00384B20">
        <w:rPr>
          <w:sz w:val="24"/>
        </w:rPr>
        <w:t>, Québec.</w:t>
      </w:r>
    </w:p>
    <w:p w:rsidR="003F0EA0" w:rsidRPr="00384B20" w:rsidRDefault="003F0EA0">
      <w:pPr>
        <w:ind w:right="1800" w:firstLine="0"/>
        <w:jc w:val="both"/>
        <w:rPr>
          <w:sz w:val="24"/>
        </w:rPr>
      </w:pPr>
    </w:p>
    <w:p w:rsidR="003F0EA0" w:rsidRPr="00E07116" w:rsidRDefault="00470564">
      <w:pPr>
        <w:ind w:right="1800" w:firstLine="0"/>
        <w:jc w:val="both"/>
      </w:pPr>
      <w:r>
        <w:rPr>
          <w:noProof/>
          <w:lang w:val="fr-FR" w:eastAsia="fr-FR"/>
        </w:rPr>
        <w:drawing>
          <wp:inline distT="0" distB="0" distL="0" distR="0">
            <wp:extent cx="1117600" cy="393700"/>
            <wp:effectExtent l="25400" t="0" r="0" b="0"/>
            <wp:docPr id="5" name="Image 4" descr="fait_sur_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noChangeAspect="1" noChangeArrowheads="1"/>
                    </pic:cNvPicPr>
                  </pic:nvPicPr>
                  <pic:blipFill>
                    <a:blip r:embed="rId20"/>
                    <a:srcRect/>
                    <a:stretch>
                      <a:fillRect/>
                    </a:stretch>
                  </pic:blipFill>
                  <pic:spPr bwMode="auto">
                    <a:xfrm>
                      <a:off x="0" y="0"/>
                      <a:ext cx="1117600" cy="393700"/>
                    </a:xfrm>
                    <a:prstGeom prst="rect">
                      <a:avLst/>
                    </a:prstGeom>
                    <a:noFill/>
                    <a:ln w="9525">
                      <a:noFill/>
                      <a:miter lim="800000"/>
                      <a:headEnd/>
                      <a:tailEnd/>
                    </a:ln>
                  </pic:spPr>
                </pic:pic>
              </a:graphicData>
            </a:graphic>
          </wp:inline>
        </w:drawing>
      </w:r>
    </w:p>
    <w:p w:rsidR="003F0EA0" w:rsidRDefault="003F0EA0" w:rsidP="003F0EA0">
      <w:pPr>
        <w:ind w:firstLine="0"/>
        <w:jc w:val="both"/>
      </w:pPr>
      <w:r w:rsidRPr="00E07116">
        <w:br w:type="page"/>
      </w:r>
    </w:p>
    <w:p w:rsidR="003F0EA0" w:rsidRPr="007150EF" w:rsidRDefault="003F0EA0" w:rsidP="003F0EA0">
      <w:pPr>
        <w:ind w:firstLine="0"/>
        <w:jc w:val="center"/>
        <w:rPr>
          <w:sz w:val="36"/>
        </w:rPr>
      </w:pPr>
      <w:r>
        <w:rPr>
          <w:sz w:val="36"/>
        </w:rPr>
        <w:t>Alain BIHR et Roland PFEFFERKORN</w:t>
      </w:r>
    </w:p>
    <w:p w:rsidR="003F0EA0" w:rsidRDefault="003F0EA0" w:rsidP="003F0EA0">
      <w:pPr>
        <w:ind w:firstLine="0"/>
        <w:jc w:val="center"/>
        <w:rPr>
          <w:sz w:val="20"/>
        </w:rPr>
      </w:pPr>
      <w:r>
        <w:rPr>
          <w:sz w:val="20"/>
        </w:rPr>
        <w:t xml:space="preserve">Respectivement </w:t>
      </w:r>
      <w:r w:rsidRPr="001E7979">
        <w:rPr>
          <w:sz w:val="20"/>
        </w:rPr>
        <w:t>sociologue français se revend</w:t>
      </w:r>
      <w:r>
        <w:rPr>
          <w:sz w:val="20"/>
        </w:rPr>
        <w:t>iquant du communisme libertaire,</w:t>
      </w:r>
      <w:r>
        <w:rPr>
          <w:sz w:val="20"/>
        </w:rPr>
        <w:br/>
      </w:r>
      <w:r w:rsidRPr="001E7979">
        <w:rPr>
          <w:sz w:val="20"/>
          <w:lang/>
        </w:rPr>
        <w:t xml:space="preserve">professeur des universités </w:t>
      </w:r>
      <w:r>
        <w:rPr>
          <w:sz w:val="20"/>
          <w:lang/>
        </w:rPr>
        <w:t>à l'université de Franche-Comté, d’une part,</w:t>
      </w:r>
    </w:p>
    <w:p w:rsidR="003F0EA0" w:rsidRDefault="003F0EA0" w:rsidP="003F0EA0">
      <w:pPr>
        <w:ind w:firstLine="0"/>
        <w:jc w:val="center"/>
        <w:rPr>
          <w:sz w:val="20"/>
        </w:rPr>
      </w:pPr>
      <w:r>
        <w:rPr>
          <w:sz w:val="20"/>
        </w:rPr>
        <w:t>et Laboratoire “Culture et sociétés en Europe”</w:t>
      </w:r>
      <w:r>
        <w:rPr>
          <w:sz w:val="20"/>
        </w:rPr>
        <w:br/>
        <w:t>(UMR du CNRS NO 7043)</w:t>
      </w:r>
      <w:r>
        <w:rPr>
          <w:sz w:val="20"/>
        </w:rPr>
        <w:br/>
        <w:t>Université Marc Bloch, Strasbourg, d’autre part.</w:t>
      </w:r>
    </w:p>
    <w:p w:rsidR="003F0EA0" w:rsidRPr="00E07116" w:rsidRDefault="003F0EA0" w:rsidP="003F0EA0">
      <w:pPr>
        <w:ind w:firstLine="0"/>
        <w:jc w:val="center"/>
      </w:pPr>
    </w:p>
    <w:p w:rsidR="003F0EA0" w:rsidRDefault="003F0EA0" w:rsidP="003F0EA0">
      <w:pPr>
        <w:ind w:firstLine="0"/>
        <w:jc w:val="center"/>
        <w:rPr>
          <w:color w:val="000080"/>
          <w:sz w:val="36"/>
        </w:rPr>
      </w:pPr>
      <w:r>
        <w:rPr>
          <w:color w:val="000080"/>
          <w:sz w:val="36"/>
        </w:rPr>
        <w:t>“L’EXCLUSION.</w:t>
      </w:r>
      <w:r>
        <w:rPr>
          <w:color w:val="000080"/>
          <w:sz w:val="36"/>
        </w:rPr>
        <w:br/>
      </w:r>
      <w:r w:rsidRPr="00EE256B">
        <w:rPr>
          <w:i/>
          <w:color w:val="000080"/>
          <w:sz w:val="36"/>
        </w:rPr>
        <w:t>Les enjeux idéologiques et théor</w:t>
      </w:r>
      <w:r w:rsidRPr="00EE256B">
        <w:rPr>
          <w:i/>
          <w:color w:val="000080"/>
          <w:sz w:val="36"/>
        </w:rPr>
        <w:t>i</w:t>
      </w:r>
      <w:r w:rsidRPr="00EE256B">
        <w:rPr>
          <w:i/>
          <w:color w:val="000080"/>
          <w:sz w:val="36"/>
        </w:rPr>
        <w:t>ques</w:t>
      </w:r>
      <w:r w:rsidRPr="00EE256B">
        <w:rPr>
          <w:i/>
          <w:color w:val="000080"/>
          <w:sz w:val="36"/>
        </w:rPr>
        <w:br/>
        <w:t>« d’un nouveau paradigme sociologique.”</w:t>
      </w:r>
    </w:p>
    <w:p w:rsidR="003F0EA0" w:rsidRPr="008B4504" w:rsidRDefault="003F0EA0" w:rsidP="003F0EA0">
      <w:pPr>
        <w:ind w:firstLine="0"/>
        <w:jc w:val="center"/>
        <w:rPr>
          <w:color w:val="000080"/>
        </w:rPr>
      </w:pPr>
    </w:p>
    <w:p w:rsidR="003F0EA0" w:rsidRPr="00E07116" w:rsidRDefault="00470564" w:rsidP="003F0EA0">
      <w:pPr>
        <w:ind w:firstLine="0"/>
        <w:jc w:val="center"/>
      </w:pPr>
      <w:r>
        <w:rPr>
          <w:noProof/>
          <w:lang w:val="fr-FR" w:eastAsia="fr-FR"/>
        </w:rPr>
        <w:drawing>
          <wp:inline distT="0" distB="0" distL="0" distR="0">
            <wp:extent cx="3352800" cy="4114800"/>
            <wp:effectExtent l="25400" t="0" r="0" b="0"/>
            <wp:docPr id="6" name="Image 6" descr="Exclusion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clusion_L"/>
                    <pic:cNvPicPr>
                      <a:picLocks noChangeAspect="1" noChangeArrowheads="1"/>
                    </pic:cNvPicPr>
                  </pic:nvPicPr>
                  <pic:blipFill>
                    <a:blip r:embed="rId21"/>
                    <a:srcRect/>
                    <a:stretch>
                      <a:fillRect/>
                    </a:stretch>
                  </pic:blipFill>
                  <pic:spPr bwMode="auto">
                    <a:xfrm>
                      <a:off x="0" y="0"/>
                      <a:ext cx="3352800" cy="4114800"/>
                    </a:xfrm>
                    <a:prstGeom prst="rect">
                      <a:avLst/>
                    </a:prstGeom>
                    <a:noFill/>
                    <a:ln w="9525">
                      <a:noFill/>
                      <a:miter lim="800000"/>
                      <a:headEnd/>
                      <a:tailEnd/>
                    </a:ln>
                  </pic:spPr>
                </pic:pic>
              </a:graphicData>
            </a:graphic>
          </wp:inline>
        </w:drawing>
      </w:r>
    </w:p>
    <w:p w:rsidR="003F0EA0" w:rsidRDefault="003F0EA0" w:rsidP="003F0EA0">
      <w:pPr>
        <w:ind w:firstLine="0"/>
        <w:jc w:val="center"/>
      </w:pPr>
    </w:p>
    <w:p w:rsidR="003F0EA0" w:rsidRDefault="003F0EA0" w:rsidP="003F0EA0">
      <w:pPr>
        <w:spacing w:before="120" w:after="120"/>
        <w:ind w:firstLine="0"/>
        <w:jc w:val="both"/>
      </w:pPr>
      <w:r>
        <w:t xml:space="preserve">In </w:t>
      </w:r>
      <w:r>
        <w:rPr>
          <w:b/>
          <w:i/>
          <w:color w:val="FF0000"/>
        </w:rPr>
        <w:t>Revue des sciences sociales</w:t>
      </w:r>
      <w:r>
        <w:t>, no 28, 2001, pp. 123-128.</w:t>
      </w:r>
    </w:p>
    <w:p w:rsidR="003F0EA0" w:rsidRDefault="003F0EA0" w:rsidP="003F0EA0">
      <w:pPr>
        <w:jc w:val="both"/>
      </w:pPr>
      <w:r w:rsidRPr="00E07116">
        <w:br w:type="page"/>
      </w:r>
    </w:p>
    <w:p w:rsidR="003F0EA0" w:rsidRDefault="003F0EA0" w:rsidP="003F0EA0">
      <w:pPr>
        <w:jc w:val="both"/>
      </w:pPr>
    </w:p>
    <w:p w:rsidR="003F0EA0" w:rsidRDefault="003F0EA0" w:rsidP="003F0EA0">
      <w:pPr>
        <w:jc w:val="both"/>
      </w:pPr>
    </w:p>
    <w:p w:rsidR="003F0EA0" w:rsidRPr="00F54CC7" w:rsidRDefault="003F0EA0" w:rsidP="003F0EA0">
      <w:pPr>
        <w:spacing w:after="120"/>
        <w:ind w:firstLine="0"/>
        <w:jc w:val="center"/>
        <w:rPr>
          <w:sz w:val="24"/>
        </w:rPr>
      </w:pPr>
      <w:bookmarkStart w:id="1" w:name="tdm"/>
      <w:r>
        <w:rPr>
          <w:b/>
          <w:sz w:val="24"/>
        </w:rPr>
        <w:t>L’EXCLUSION</w:t>
      </w:r>
      <w:r w:rsidRPr="007150EF">
        <w:rPr>
          <w:b/>
          <w:sz w:val="24"/>
        </w:rPr>
        <w:t>.</w:t>
      </w:r>
    </w:p>
    <w:p w:rsidR="003F0EA0" w:rsidRPr="00384B20" w:rsidRDefault="003F0EA0" w:rsidP="003F0EA0">
      <w:pPr>
        <w:pStyle w:val="planchest"/>
      </w:pPr>
      <w:r w:rsidRPr="00384B20">
        <w:t>Table des matières</w:t>
      </w:r>
      <w:bookmarkEnd w:id="1"/>
    </w:p>
    <w:p w:rsidR="003F0EA0" w:rsidRPr="00E07116" w:rsidRDefault="003F0EA0" w:rsidP="003F0EA0">
      <w:pPr>
        <w:ind w:firstLine="0"/>
      </w:pPr>
    </w:p>
    <w:p w:rsidR="003F0EA0" w:rsidRDefault="003F0EA0" w:rsidP="003F0EA0">
      <w:pPr>
        <w:ind w:firstLine="0"/>
      </w:pPr>
    </w:p>
    <w:p w:rsidR="003F0EA0" w:rsidRDefault="003F0EA0" w:rsidP="003F0EA0">
      <w:pPr>
        <w:ind w:firstLine="0"/>
      </w:pPr>
    </w:p>
    <w:p w:rsidR="003F0EA0" w:rsidRDefault="003F0EA0" w:rsidP="003F0EA0">
      <w:pPr>
        <w:ind w:firstLine="0"/>
      </w:pPr>
      <w:hyperlink w:anchor="Exclusion_intro" w:history="1">
        <w:r w:rsidRPr="005F7FBF">
          <w:rPr>
            <w:rStyle w:val="Lienhypertexte"/>
          </w:rPr>
          <w:t>Introduction</w:t>
        </w:r>
      </w:hyperlink>
      <w:r>
        <w:t xml:space="preserve"> [123]</w:t>
      </w:r>
    </w:p>
    <w:p w:rsidR="003F0EA0" w:rsidRDefault="003F0EA0" w:rsidP="003F0EA0">
      <w:pPr>
        <w:ind w:firstLine="0"/>
      </w:pPr>
    </w:p>
    <w:p w:rsidR="003F0EA0" w:rsidRDefault="003F0EA0" w:rsidP="003F0EA0">
      <w:pPr>
        <w:ind w:left="360" w:hanging="360"/>
      </w:pPr>
      <w:r>
        <w:t>I.</w:t>
      </w:r>
      <w:r>
        <w:tab/>
      </w:r>
      <w:hyperlink w:anchor="Exclusion_I" w:history="1">
        <w:r w:rsidRPr="005F7FBF">
          <w:rPr>
            <w:rStyle w:val="Lienhypertexte"/>
          </w:rPr>
          <w:t>La question sociale revisitée</w:t>
        </w:r>
      </w:hyperlink>
      <w:r>
        <w:t xml:space="preserve"> [123]</w:t>
      </w:r>
    </w:p>
    <w:p w:rsidR="003F0EA0" w:rsidRDefault="003F0EA0" w:rsidP="003F0EA0">
      <w:pPr>
        <w:ind w:left="360" w:hanging="360"/>
      </w:pPr>
    </w:p>
    <w:p w:rsidR="003F0EA0" w:rsidRDefault="003F0EA0" w:rsidP="003F0EA0">
      <w:pPr>
        <w:ind w:left="720" w:hanging="360"/>
      </w:pPr>
      <w:r>
        <w:t>1.</w:t>
      </w:r>
      <w:r>
        <w:tab/>
      </w:r>
      <w:hyperlink w:anchor="Exclusion_I_1" w:history="1">
        <w:r w:rsidRPr="005F7FBF">
          <w:rPr>
            <w:rStyle w:val="Lienhypertexte"/>
          </w:rPr>
          <w:t>Le succès de la terminologie</w:t>
        </w:r>
      </w:hyperlink>
      <w:r>
        <w:t xml:space="preserve"> [123]</w:t>
      </w:r>
    </w:p>
    <w:p w:rsidR="003F0EA0" w:rsidRPr="00E07116" w:rsidRDefault="003F0EA0" w:rsidP="003F0EA0">
      <w:pPr>
        <w:ind w:left="720" w:hanging="360"/>
      </w:pPr>
      <w:r>
        <w:t>2.</w:t>
      </w:r>
      <w:r>
        <w:tab/>
      </w:r>
      <w:hyperlink w:anchor="Exclusion_I_2" w:history="1">
        <w:r w:rsidRPr="005F7FBF">
          <w:rPr>
            <w:rStyle w:val="Lienhypertexte"/>
          </w:rPr>
          <w:t>Exemples rhétoriques</w:t>
        </w:r>
      </w:hyperlink>
      <w:r>
        <w:t xml:space="preserve"> [125]</w:t>
      </w:r>
    </w:p>
    <w:p w:rsidR="003F0EA0" w:rsidRDefault="003F0EA0" w:rsidP="003F0EA0">
      <w:pPr>
        <w:ind w:left="540" w:hanging="540"/>
      </w:pPr>
    </w:p>
    <w:p w:rsidR="003F0EA0" w:rsidRDefault="003F0EA0" w:rsidP="003F0EA0">
      <w:pPr>
        <w:ind w:left="540" w:hanging="540"/>
      </w:pPr>
      <w:r>
        <w:t>II.</w:t>
      </w:r>
      <w:r>
        <w:tab/>
      </w:r>
      <w:hyperlink w:anchor="Exclusion_II" w:history="1">
        <w:r w:rsidRPr="005F7FBF">
          <w:rPr>
            <w:rStyle w:val="Lienhypertexte"/>
          </w:rPr>
          <w:t>Une longue tradition d’occultation du conflit social</w:t>
        </w:r>
      </w:hyperlink>
      <w:r>
        <w:t xml:space="preserve"> [126]</w:t>
      </w:r>
    </w:p>
    <w:p w:rsidR="003F0EA0" w:rsidRDefault="003F0EA0" w:rsidP="003F0EA0">
      <w:pPr>
        <w:ind w:left="540" w:hanging="540"/>
      </w:pPr>
    </w:p>
    <w:p w:rsidR="003F0EA0" w:rsidRDefault="003F0EA0" w:rsidP="003F0EA0">
      <w:pPr>
        <w:ind w:left="720" w:hanging="360"/>
      </w:pPr>
      <w:r>
        <w:t>1.</w:t>
      </w:r>
      <w:r>
        <w:tab/>
      </w:r>
      <w:hyperlink w:anchor="Exclusion_II_1" w:history="1">
        <w:r w:rsidRPr="005F7FBF">
          <w:rPr>
            <w:rStyle w:val="Lienhypertexte"/>
          </w:rPr>
          <w:t>« Lien social » ou « rapport social » ?</w:t>
        </w:r>
      </w:hyperlink>
      <w:r>
        <w:t xml:space="preserve"> [126]</w:t>
      </w:r>
    </w:p>
    <w:p w:rsidR="003F0EA0" w:rsidRDefault="003F0EA0" w:rsidP="003F0EA0">
      <w:pPr>
        <w:ind w:left="720" w:hanging="360"/>
      </w:pPr>
      <w:r>
        <w:t>2.</w:t>
      </w:r>
      <w:r>
        <w:tab/>
      </w:r>
      <w:hyperlink w:anchor="Exclusion_II_2" w:history="1">
        <w:r w:rsidRPr="005F7FBF">
          <w:rPr>
            <w:rStyle w:val="Lienhypertexte"/>
          </w:rPr>
          <w:t>La dénégation de l’idée de conflit</w:t>
        </w:r>
      </w:hyperlink>
      <w:r>
        <w:t xml:space="preserve"> [127]</w:t>
      </w:r>
    </w:p>
    <w:p w:rsidR="003F0EA0" w:rsidRDefault="003F0EA0" w:rsidP="003F0EA0">
      <w:pPr>
        <w:ind w:left="540" w:hanging="540"/>
      </w:pPr>
    </w:p>
    <w:p w:rsidR="003F0EA0" w:rsidRPr="00E07116" w:rsidRDefault="003F0EA0" w:rsidP="003F0EA0">
      <w:pPr>
        <w:ind w:left="540" w:hanging="540"/>
      </w:pPr>
      <w:hyperlink w:anchor="Exclusion_biblio" w:history="1">
        <w:r w:rsidRPr="005F7FBF">
          <w:rPr>
            <w:rStyle w:val="Lienhypertexte"/>
          </w:rPr>
          <w:t>Bibliographie</w:t>
        </w:r>
      </w:hyperlink>
      <w:r>
        <w:t xml:space="preserve"> [128]</w:t>
      </w:r>
    </w:p>
    <w:p w:rsidR="003F0EA0" w:rsidRPr="00E07116" w:rsidRDefault="003F0EA0" w:rsidP="003F0EA0">
      <w:pPr>
        <w:spacing w:before="120" w:after="120"/>
        <w:ind w:firstLine="0"/>
        <w:jc w:val="both"/>
      </w:pPr>
      <w:r w:rsidRPr="00E07116">
        <w:br w:type="page"/>
      </w:r>
    </w:p>
    <w:p w:rsidR="003F0EA0" w:rsidRPr="00E07116" w:rsidRDefault="003F0EA0" w:rsidP="003F0EA0">
      <w:pPr>
        <w:pStyle w:val="p"/>
      </w:pPr>
    </w:p>
    <w:p w:rsidR="003F0EA0" w:rsidRPr="00E07116" w:rsidRDefault="003F0EA0">
      <w:pPr>
        <w:jc w:val="both"/>
      </w:pPr>
    </w:p>
    <w:p w:rsidR="003F0EA0" w:rsidRPr="00E07116" w:rsidRDefault="003F0EA0">
      <w:pPr>
        <w:jc w:val="both"/>
      </w:pPr>
    </w:p>
    <w:p w:rsidR="003F0EA0" w:rsidRPr="00E07116" w:rsidRDefault="003F0EA0">
      <w:pPr>
        <w:jc w:val="both"/>
      </w:pPr>
    </w:p>
    <w:p w:rsidR="003F0EA0" w:rsidRPr="00E07116" w:rsidRDefault="003F0EA0" w:rsidP="003F0EA0">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3F0EA0" w:rsidRPr="00E07116" w:rsidRDefault="003F0EA0" w:rsidP="003F0EA0">
      <w:pPr>
        <w:pStyle w:val="NormalWeb"/>
        <w:spacing w:before="2" w:after="2"/>
        <w:jc w:val="both"/>
        <w:rPr>
          <w:rFonts w:ascii="Times New Roman" w:hAnsi="Times New Roman"/>
          <w:sz w:val="28"/>
        </w:rPr>
      </w:pPr>
    </w:p>
    <w:p w:rsidR="003F0EA0" w:rsidRPr="00E07116" w:rsidRDefault="003F0EA0" w:rsidP="003F0EA0">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3F0EA0" w:rsidRPr="00E07116" w:rsidRDefault="003F0EA0" w:rsidP="003F0EA0">
      <w:pPr>
        <w:jc w:val="both"/>
        <w:rPr>
          <w:szCs w:val="19"/>
        </w:rPr>
      </w:pPr>
    </w:p>
    <w:p w:rsidR="003F0EA0" w:rsidRPr="00E07116" w:rsidRDefault="003F0EA0">
      <w:pPr>
        <w:jc w:val="both"/>
        <w:rPr>
          <w:szCs w:val="19"/>
        </w:rPr>
      </w:pPr>
    </w:p>
    <w:p w:rsidR="003F0EA0" w:rsidRPr="00FF7434" w:rsidRDefault="003F0EA0" w:rsidP="003F0EA0">
      <w:pPr>
        <w:spacing w:before="120" w:after="120"/>
        <w:ind w:firstLine="0"/>
        <w:jc w:val="both"/>
        <w:rPr>
          <w:lang w:eastAsia="fr-FR" w:bidi="fr-FR"/>
        </w:rPr>
      </w:pPr>
      <w:r w:rsidRPr="00E07116">
        <w:br w:type="page"/>
      </w:r>
      <w:r w:rsidRPr="00FF7434">
        <w:rPr>
          <w:lang w:eastAsia="fr-FR" w:bidi="fr-FR"/>
        </w:rPr>
        <w:t>[</w:t>
      </w:r>
      <w:r>
        <w:rPr>
          <w:lang w:eastAsia="fr-FR" w:bidi="fr-FR"/>
        </w:rPr>
        <w:t>123</w:t>
      </w:r>
      <w:r w:rsidRPr="00FF7434">
        <w:rPr>
          <w:lang w:eastAsia="fr-FR" w:bidi="fr-FR"/>
        </w:rPr>
        <w:t>]</w:t>
      </w:r>
    </w:p>
    <w:p w:rsidR="003F0EA0" w:rsidRDefault="003F0EA0" w:rsidP="003F0EA0">
      <w:pPr>
        <w:ind w:firstLine="0"/>
        <w:jc w:val="both"/>
      </w:pPr>
    </w:p>
    <w:p w:rsidR="003F0EA0" w:rsidRDefault="003F0EA0" w:rsidP="003F0EA0">
      <w:pPr>
        <w:ind w:firstLine="0"/>
        <w:jc w:val="both"/>
      </w:pPr>
    </w:p>
    <w:p w:rsidR="003F0EA0" w:rsidRPr="00EE256B" w:rsidRDefault="003F0EA0" w:rsidP="003F0EA0">
      <w:pPr>
        <w:ind w:firstLine="0"/>
        <w:jc w:val="center"/>
      </w:pPr>
      <w:r w:rsidRPr="00EE256B">
        <w:t>Alain BIHR </w:t>
      </w:r>
      <w:r w:rsidRPr="00EE256B">
        <w:rPr>
          <w:rStyle w:val="Marquenotebasdepage"/>
        </w:rPr>
        <w:footnoteReference w:customMarkFollows="1" w:id="1"/>
        <w:t>*</w:t>
      </w:r>
      <w:r w:rsidRPr="00EE256B">
        <w:t xml:space="preserve"> et Roland PFEFFERKORN </w:t>
      </w:r>
      <w:r w:rsidRPr="00EE256B">
        <w:rPr>
          <w:rStyle w:val="Marquenotebasdepage"/>
        </w:rPr>
        <w:footnoteReference w:customMarkFollows="1" w:id="2"/>
        <w:t>**</w:t>
      </w:r>
    </w:p>
    <w:p w:rsidR="003F0EA0" w:rsidRPr="00EE256B" w:rsidRDefault="003F0EA0" w:rsidP="003F0EA0">
      <w:pPr>
        <w:ind w:firstLine="0"/>
        <w:jc w:val="center"/>
        <w:rPr>
          <w:sz w:val="24"/>
        </w:rPr>
      </w:pPr>
      <w:r w:rsidRPr="00EE256B">
        <w:rPr>
          <w:sz w:val="24"/>
          <w:szCs w:val="32"/>
        </w:rPr>
        <w:t>UMR du CNRS « Sociétés, cultures et représentations sociales en E</w:t>
      </w:r>
      <w:r w:rsidRPr="00EE256B">
        <w:rPr>
          <w:sz w:val="24"/>
          <w:szCs w:val="32"/>
        </w:rPr>
        <w:t>u</w:t>
      </w:r>
      <w:r w:rsidRPr="00EE256B">
        <w:rPr>
          <w:sz w:val="24"/>
          <w:szCs w:val="32"/>
        </w:rPr>
        <w:t>rope »</w:t>
      </w:r>
    </w:p>
    <w:p w:rsidR="003F0EA0" w:rsidRPr="00E07116" w:rsidRDefault="003F0EA0" w:rsidP="003F0EA0">
      <w:pPr>
        <w:ind w:firstLine="0"/>
        <w:jc w:val="center"/>
      </w:pPr>
    </w:p>
    <w:p w:rsidR="003F0EA0" w:rsidRDefault="003F0EA0" w:rsidP="003F0EA0">
      <w:pPr>
        <w:ind w:firstLine="0"/>
        <w:jc w:val="center"/>
        <w:rPr>
          <w:color w:val="000080"/>
          <w:sz w:val="36"/>
        </w:rPr>
      </w:pPr>
      <w:r>
        <w:rPr>
          <w:color w:val="000080"/>
          <w:sz w:val="36"/>
        </w:rPr>
        <w:t>“L’EXCLUSION.</w:t>
      </w:r>
      <w:r>
        <w:rPr>
          <w:color w:val="000080"/>
          <w:sz w:val="36"/>
        </w:rPr>
        <w:br/>
      </w:r>
      <w:r w:rsidRPr="00EE256B">
        <w:rPr>
          <w:i/>
          <w:color w:val="000080"/>
          <w:sz w:val="36"/>
        </w:rPr>
        <w:t>Les enjeux idéologiques et théor</w:t>
      </w:r>
      <w:r w:rsidRPr="00EE256B">
        <w:rPr>
          <w:i/>
          <w:color w:val="000080"/>
          <w:sz w:val="36"/>
        </w:rPr>
        <w:t>i</w:t>
      </w:r>
      <w:r w:rsidRPr="00EE256B">
        <w:rPr>
          <w:i/>
          <w:color w:val="000080"/>
          <w:sz w:val="36"/>
        </w:rPr>
        <w:t>ques</w:t>
      </w:r>
      <w:r w:rsidRPr="00EE256B">
        <w:rPr>
          <w:i/>
          <w:color w:val="000080"/>
          <w:sz w:val="36"/>
        </w:rPr>
        <w:br/>
        <w:t>« d’un nouveau paradigme sociologique.”</w:t>
      </w:r>
    </w:p>
    <w:p w:rsidR="003F0EA0" w:rsidRDefault="003F0EA0" w:rsidP="003F0EA0">
      <w:pPr>
        <w:ind w:firstLine="0"/>
        <w:jc w:val="center"/>
      </w:pPr>
    </w:p>
    <w:p w:rsidR="003F0EA0" w:rsidRDefault="003F0EA0" w:rsidP="003F0EA0">
      <w:pPr>
        <w:spacing w:before="120" w:after="120"/>
        <w:ind w:firstLine="0"/>
        <w:jc w:val="both"/>
      </w:pPr>
      <w:r>
        <w:t xml:space="preserve">In </w:t>
      </w:r>
      <w:r>
        <w:rPr>
          <w:b/>
          <w:i/>
          <w:color w:val="FF0000"/>
        </w:rPr>
        <w:t>Revue des sciences sociales</w:t>
      </w:r>
      <w:r>
        <w:t>, no 28, 2001, pp. 123-128.</w:t>
      </w:r>
    </w:p>
    <w:p w:rsidR="003F0EA0" w:rsidRDefault="003F0EA0" w:rsidP="003F0EA0">
      <w:pPr>
        <w:jc w:val="both"/>
      </w:pPr>
    </w:p>
    <w:p w:rsidR="003F0EA0" w:rsidRDefault="003F0EA0" w:rsidP="003F0EA0">
      <w:pPr>
        <w:jc w:val="both"/>
      </w:pPr>
    </w:p>
    <w:p w:rsidR="003F0EA0" w:rsidRDefault="003F0EA0" w:rsidP="003F0EA0">
      <w:pPr>
        <w:pStyle w:val="planche"/>
      </w:pPr>
      <w:bookmarkStart w:id="2" w:name="Exclusion_intro"/>
      <w:r>
        <w:t>Introduction</w:t>
      </w:r>
    </w:p>
    <w:bookmarkEnd w:id="2"/>
    <w:p w:rsidR="003F0EA0" w:rsidRPr="00E07116" w:rsidRDefault="003F0EA0" w:rsidP="003F0EA0">
      <w:pPr>
        <w:jc w:val="both"/>
      </w:pPr>
    </w:p>
    <w:p w:rsidR="003F0EA0" w:rsidRPr="00E07116" w:rsidRDefault="003F0EA0" w:rsidP="003F0EA0">
      <w:pPr>
        <w:jc w:val="both"/>
      </w:pPr>
    </w:p>
    <w:p w:rsidR="003F0EA0" w:rsidRPr="00384B20" w:rsidRDefault="003F0EA0" w:rsidP="003F0EA0">
      <w:pPr>
        <w:ind w:right="90" w:firstLine="0"/>
        <w:jc w:val="both"/>
        <w:rPr>
          <w:sz w:val="20"/>
        </w:rPr>
      </w:pPr>
      <w:hyperlink w:anchor="tdm" w:history="1">
        <w:r w:rsidRPr="00384B20">
          <w:rPr>
            <w:rStyle w:val="Lienhypertexte"/>
            <w:sz w:val="20"/>
          </w:rPr>
          <w:t>Retour à la table des matières</w:t>
        </w:r>
      </w:hyperlink>
    </w:p>
    <w:p w:rsidR="003F0EA0" w:rsidRPr="003A30B6" w:rsidRDefault="003F0EA0" w:rsidP="003F0EA0">
      <w:pPr>
        <w:spacing w:before="120" w:after="120"/>
        <w:jc w:val="both"/>
      </w:pPr>
      <w:r w:rsidRPr="003A30B6">
        <w:rPr>
          <w:szCs w:val="114"/>
        </w:rPr>
        <w:t>L</w:t>
      </w:r>
      <w:r w:rsidRPr="003A30B6">
        <w:rPr>
          <w:szCs w:val="32"/>
        </w:rPr>
        <w:t>a notion d'exclusion connaît un succès public indéniable depuis la fin des années 1980, quelle que soit la conjoncture économique ou politique. On ne compte plus les articles ou les livres dont le titre ou le sous-titre comporte la présence de ce terme ou d'un de ses dérivés. Les numéros de revues spécialisées centrés sur cette question se sont mu</w:t>
      </w:r>
      <w:r w:rsidRPr="003A30B6">
        <w:rPr>
          <w:szCs w:val="32"/>
        </w:rPr>
        <w:t>l</w:t>
      </w:r>
      <w:r w:rsidRPr="003A30B6">
        <w:rPr>
          <w:szCs w:val="32"/>
        </w:rPr>
        <w:t>tipliés</w:t>
      </w:r>
      <w:r>
        <w:rPr>
          <w:szCs w:val="32"/>
        </w:rPr>
        <w:t> </w:t>
      </w:r>
      <w:r>
        <w:rPr>
          <w:rStyle w:val="Marquenotebasdepage"/>
          <w:szCs w:val="32"/>
        </w:rPr>
        <w:footnoteReference w:id="3"/>
      </w:r>
      <w:r w:rsidRPr="003A30B6">
        <w:rPr>
          <w:szCs w:val="32"/>
        </w:rPr>
        <w:t>. Le vocabulaire administratif et politique a Intégré cette n</w:t>
      </w:r>
      <w:r w:rsidRPr="003A30B6">
        <w:rPr>
          <w:szCs w:val="32"/>
        </w:rPr>
        <w:t>o</w:t>
      </w:r>
      <w:r w:rsidRPr="003A30B6">
        <w:rPr>
          <w:szCs w:val="32"/>
        </w:rPr>
        <w:t>tion à son registre ordinaire. Depuis l'adoption en 1998 dune « loi sur l'e</w:t>
      </w:r>
      <w:r w:rsidRPr="003A30B6">
        <w:rPr>
          <w:szCs w:val="32"/>
        </w:rPr>
        <w:t>x</w:t>
      </w:r>
      <w:r w:rsidRPr="003A30B6">
        <w:rPr>
          <w:szCs w:val="32"/>
        </w:rPr>
        <w:t>clusion », la politique sociale est officiellement rangée sous la bannière de la « lutte contre l'exclusion ». Auparavant, ce thème régi</w:t>
      </w:r>
      <w:r w:rsidRPr="003A30B6">
        <w:rPr>
          <w:szCs w:val="32"/>
        </w:rPr>
        <w:t>s</w:t>
      </w:r>
      <w:r w:rsidRPr="003A30B6">
        <w:rPr>
          <w:szCs w:val="32"/>
        </w:rPr>
        <w:t>sait déjà les contrats de ville et tout un ensemble de mesures sociales progressivement mises en place à partir de la fin des années 1970 : missions locales d'Insertion des jeunes, développement social de qua</w:t>
      </w:r>
      <w:r w:rsidRPr="003A30B6">
        <w:rPr>
          <w:szCs w:val="32"/>
        </w:rPr>
        <w:t>r</w:t>
      </w:r>
      <w:r w:rsidRPr="003A30B6">
        <w:rPr>
          <w:szCs w:val="32"/>
        </w:rPr>
        <w:t xml:space="preserve">tier, </w:t>
      </w:r>
      <w:r w:rsidRPr="003A30B6">
        <w:rPr>
          <w:i/>
          <w:iCs/>
          <w:szCs w:val="32"/>
        </w:rPr>
        <w:t xml:space="preserve">Banlieues 89, </w:t>
      </w:r>
      <w:r w:rsidRPr="003A30B6">
        <w:rPr>
          <w:szCs w:val="32"/>
        </w:rPr>
        <w:t>conseils communaux de prévention de la déli</w:t>
      </w:r>
      <w:r w:rsidRPr="003A30B6">
        <w:rPr>
          <w:szCs w:val="32"/>
        </w:rPr>
        <w:t>n</w:t>
      </w:r>
      <w:r w:rsidRPr="003A30B6">
        <w:rPr>
          <w:szCs w:val="32"/>
        </w:rPr>
        <w:t>quance, commissions de suivi du revenu minimum d'insertion etc.</w:t>
      </w:r>
    </w:p>
    <w:p w:rsidR="003F0EA0" w:rsidRPr="003A30B6" w:rsidRDefault="003F0EA0" w:rsidP="003F0EA0">
      <w:pPr>
        <w:spacing w:before="120" w:after="120"/>
        <w:jc w:val="both"/>
      </w:pPr>
      <w:r w:rsidRPr="003A30B6">
        <w:rPr>
          <w:szCs w:val="32"/>
        </w:rPr>
        <w:t>Môme les sociologues ou les philosophes semblent av</w:t>
      </w:r>
      <w:r w:rsidR="00B77B21">
        <w:rPr>
          <w:szCs w:val="32"/>
        </w:rPr>
        <w:t>oir adopté cette notion, quand il</w:t>
      </w:r>
      <w:r w:rsidRPr="003A30B6">
        <w:rPr>
          <w:szCs w:val="32"/>
        </w:rPr>
        <w:t>s n'ont pas contribué à sa diffusion. En 1996, un gros volume de type encyclopédique dirigé par Serge Paugam a pr</w:t>
      </w:r>
      <w:r w:rsidRPr="003A30B6">
        <w:rPr>
          <w:szCs w:val="32"/>
        </w:rPr>
        <w:t>o</w:t>
      </w:r>
      <w:r w:rsidRPr="003A30B6">
        <w:rPr>
          <w:szCs w:val="32"/>
        </w:rPr>
        <w:t>posé de dresser « l'état des savoirs » en vue de « clarifier le concept d'exclusion ». Dans cet ouvrage-bilan, les spécialistes convoqués, hi</w:t>
      </w:r>
      <w:r w:rsidRPr="003A30B6">
        <w:rPr>
          <w:szCs w:val="32"/>
        </w:rPr>
        <w:t>s</w:t>
      </w:r>
      <w:r w:rsidRPr="003A30B6">
        <w:rPr>
          <w:szCs w:val="32"/>
        </w:rPr>
        <w:t>toriens, sociologues, économistes, philosophes, sont présentés comme des utilisateurs de cette notion transversale dans les recherches en cours ». L'exclusion y est abordée sous l'angle de la « rupture du</w:t>
      </w:r>
      <w:r>
        <w:rPr>
          <w:szCs w:val="32"/>
        </w:rPr>
        <w:t xml:space="preserve"> </w:t>
      </w:r>
      <w:r w:rsidRPr="003A30B6">
        <w:rPr>
          <w:szCs w:val="32"/>
        </w:rPr>
        <w:t>lien social » et explicitement élevée à la dignité de « paradigme s</w:t>
      </w:r>
      <w:r w:rsidRPr="003A30B6">
        <w:rPr>
          <w:szCs w:val="32"/>
        </w:rPr>
        <w:t>o</w:t>
      </w:r>
      <w:r w:rsidRPr="003A30B6">
        <w:rPr>
          <w:szCs w:val="32"/>
        </w:rPr>
        <w:t>ciétal ». Pour autant, cette notion contribue-t-elle à éclairer les princ</w:t>
      </w:r>
      <w:r w:rsidRPr="003A30B6">
        <w:rPr>
          <w:szCs w:val="32"/>
        </w:rPr>
        <w:t>i</w:t>
      </w:r>
      <w:r w:rsidRPr="003A30B6">
        <w:rPr>
          <w:szCs w:val="32"/>
        </w:rPr>
        <w:t>pales transformations économiques et sociales du monde contemp</w:t>
      </w:r>
      <w:r w:rsidRPr="003A30B6">
        <w:rPr>
          <w:szCs w:val="32"/>
        </w:rPr>
        <w:t>o</w:t>
      </w:r>
      <w:r w:rsidRPr="003A30B6">
        <w:rPr>
          <w:szCs w:val="32"/>
        </w:rPr>
        <w:t>rain ? Ses qualités descriptives, elles-mêmes discutables comme on verra plus loin, se doublent-elles de vertus explicatives qui rendraient com</w:t>
      </w:r>
      <w:r w:rsidRPr="003A30B6">
        <w:rPr>
          <w:szCs w:val="32"/>
        </w:rPr>
        <w:t>p</w:t>
      </w:r>
      <w:r w:rsidRPr="003A30B6">
        <w:rPr>
          <w:szCs w:val="32"/>
        </w:rPr>
        <w:t>te de sa diffusion exceptionnelle ? Ou au contraire son succès ne s'e</w:t>
      </w:r>
      <w:r w:rsidRPr="003A30B6">
        <w:rPr>
          <w:szCs w:val="32"/>
        </w:rPr>
        <w:t>x</w:t>
      </w:r>
      <w:r w:rsidRPr="003A30B6">
        <w:rPr>
          <w:szCs w:val="32"/>
        </w:rPr>
        <w:t>pliquerait II pas d'abord par sa contribution à la dilution, voire à l'o</w:t>
      </w:r>
      <w:r w:rsidRPr="003A30B6">
        <w:rPr>
          <w:szCs w:val="32"/>
        </w:rPr>
        <w:t>c</w:t>
      </w:r>
      <w:r w:rsidRPr="003A30B6">
        <w:rPr>
          <w:szCs w:val="32"/>
        </w:rPr>
        <w:t>cultation, d'un autre paradigme, celui du conflit, et plus précis</w:t>
      </w:r>
      <w:r w:rsidRPr="003A30B6">
        <w:rPr>
          <w:szCs w:val="32"/>
        </w:rPr>
        <w:t>é</w:t>
      </w:r>
      <w:r w:rsidRPr="003A30B6">
        <w:rPr>
          <w:szCs w:val="32"/>
        </w:rPr>
        <w:t>ment de la lutte de classe, en rendant imperceptibles et inintelligibles les transformations en cours, notamment en termes d'aggravation de l'e</w:t>
      </w:r>
      <w:r w:rsidRPr="003A30B6">
        <w:rPr>
          <w:szCs w:val="32"/>
        </w:rPr>
        <w:t>x</w:t>
      </w:r>
      <w:r w:rsidRPr="003A30B6">
        <w:rPr>
          <w:szCs w:val="32"/>
        </w:rPr>
        <w:t>ploitation et de la domination ?</w:t>
      </w:r>
    </w:p>
    <w:p w:rsidR="003F0EA0" w:rsidRPr="003A30B6" w:rsidRDefault="003F0EA0" w:rsidP="003F0EA0">
      <w:pPr>
        <w:spacing w:before="120" w:after="120"/>
        <w:jc w:val="both"/>
        <w:rPr>
          <w:szCs w:val="42"/>
        </w:rPr>
      </w:pPr>
    </w:p>
    <w:p w:rsidR="003F0EA0" w:rsidRPr="003A30B6" w:rsidRDefault="003F0EA0" w:rsidP="003F0EA0">
      <w:pPr>
        <w:pStyle w:val="planche"/>
      </w:pPr>
      <w:bookmarkStart w:id="3" w:name="Exclusion_I"/>
      <w:r w:rsidRPr="003A30B6">
        <w:t>I. La question sociale revisitée</w:t>
      </w:r>
    </w:p>
    <w:bookmarkEnd w:id="3"/>
    <w:p w:rsidR="003F0EA0" w:rsidRPr="003A30B6" w:rsidRDefault="003F0EA0" w:rsidP="003F0EA0">
      <w:pPr>
        <w:spacing w:before="120" w:after="120"/>
        <w:jc w:val="both"/>
        <w:rPr>
          <w:szCs w:val="32"/>
        </w:rPr>
      </w:pPr>
    </w:p>
    <w:p w:rsidR="003F0EA0" w:rsidRPr="00384B20" w:rsidRDefault="003F0EA0" w:rsidP="003F0EA0">
      <w:pPr>
        <w:ind w:right="90" w:firstLine="0"/>
        <w:jc w:val="both"/>
        <w:rPr>
          <w:sz w:val="20"/>
        </w:rPr>
      </w:pPr>
      <w:hyperlink w:anchor="tdm" w:history="1">
        <w:r w:rsidRPr="00384B20">
          <w:rPr>
            <w:rStyle w:val="Lienhypertexte"/>
            <w:sz w:val="20"/>
          </w:rPr>
          <w:t>Retour à la table des matières</w:t>
        </w:r>
      </w:hyperlink>
    </w:p>
    <w:p w:rsidR="003F0EA0" w:rsidRPr="003A30B6" w:rsidRDefault="003F0EA0" w:rsidP="003F0EA0">
      <w:pPr>
        <w:spacing w:before="120" w:after="120"/>
        <w:jc w:val="both"/>
      </w:pPr>
      <w:r w:rsidRPr="003A30B6">
        <w:rPr>
          <w:szCs w:val="32"/>
        </w:rPr>
        <w:t>On ne peut comprendre le succès qu'a connu le terme « exclusion » auprès des sociologues, hommes politiques, travailleurs sociaux etc., qu'en fonction du contexte dans lequel il s'impose, celui des années 1980 et 1990. Le rapporter à ce contexte permettra d'en saisir la fon</w:t>
      </w:r>
      <w:r w:rsidRPr="003A30B6">
        <w:rPr>
          <w:szCs w:val="32"/>
        </w:rPr>
        <w:t>c</w:t>
      </w:r>
      <w:r w:rsidRPr="003A30B6">
        <w:rPr>
          <w:szCs w:val="32"/>
        </w:rPr>
        <w:t>tion Idéologique fondamentale.</w:t>
      </w:r>
    </w:p>
    <w:p w:rsidR="003F0EA0" w:rsidRPr="003A30B6" w:rsidRDefault="003F0EA0" w:rsidP="003F0EA0">
      <w:pPr>
        <w:spacing w:before="120" w:after="120"/>
        <w:jc w:val="both"/>
        <w:rPr>
          <w:szCs w:val="32"/>
        </w:rPr>
      </w:pPr>
    </w:p>
    <w:p w:rsidR="003F0EA0" w:rsidRPr="003A30B6" w:rsidRDefault="003F0EA0" w:rsidP="003F0EA0">
      <w:pPr>
        <w:pStyle w:val="a"/>
      </w:pPr>
      <w:bookmarkStart w:id="4" w:name="Exclusion_I_1"/>
      <w:r w:rsidRPr="003A30B6">
        <w:t>1. Le succès d'une terminologie</w:t>
      </w:r>
    </w:p>
    <w:bookmarkEnd w:id="4"/>
    <w:p w:rsidR="003F0EA0" w:rsidRPr="003A30B6" w:rsidRDefault="003F0EA0" w:rsidP="003F0EA0">
      <w:pPr>
        <w:spacing w:before="120" w:after="120"/>
        <w:jc w:val="both"/>
        <w:rPr>
          <w:szCs w:val="32"/>
        </w:rPr>
      </w:pPr>
    </w:p>
    <w:p w:rsidR="003F0EA0" w:rsidRPr="003A30B6" w:rsidRDefault="003F0EA0" w:rsidP="003F0EA0">
      <w:pPr>
        <w:spacing w:before="120" w:after="120"/>
        <w:jc w:val="both"/>
      </w:pPr>
      <w:r w:rsidRPr="003A30B6">
        <w:rPr>
          <w:szCs w:val="32"/>
        </w:rPr>
        <w:t>Comment comprendre, en effet, que ce terme ait pu s'Imposer aussi rapidement</w:t>
      </w:r>
      <w:r>
        <w:rPr>
          <w:szCs w:val="32"/>
        </w:rPr>
        <w:t xml:space="preserve"> </w:t>
      </w:r>
      <w:r w:rsidRPr="003A30B6">
        <w:rPr>
          <w:szCs w:val="30"/>
        </w:rPr>
        <w:t>[124]</w:t>
      </w:r>
      <w:r>
        <w:rPr>
          <w:szCs w:val="30"/>
        </w:rPr>
        <w:t xml:space="preserve"> </w:t>
      </w:r>
      <w:r w:rsidRPr="003A30B6">
        <w:rPr>
          <w:szCs w:val="32"/>
        </w:rPr>
        <w:t>et aussi généralement au cours de ces années ?</w:t>
      </w:r>
    </w:p>
    <w:p w:rsidR="003F0EA0" w:rsidRPr="003A30B6" w:rsidRDefault="003F0EA0" w:rsidP="003F0EA0">
      <w:pPr>
        <w:spacing w:before="120" w:after="120"/>
        <w:jc w:val="both"/>
      </w:pPr>
      <w:r w:rsidRPr="003A30B6">
        <w:rPr>
          <w:szCs w:val="32"/>
        </w:rPr>
        <w:t>Il y a une première raison à ce succès. Prise dans son sens courant et Immédiat, la notion d'exclusion semble parfaitement rendre compte d'un certain nombre de phénomènes socio-économiques apparemment nouveaux survenus au cours de ces deux décennies. En effet, avec en toile de fond l'apparition puis l'aggravation continue d'un chômage de masse, on voit se développer un Important chômage de longue durée, voire de très longue durée, des formes de travail précaire affectant de manière chronique ou récurrente certaines catégories de main-d'œuvre, ou encore l'Impossibilité pour certaines couches do la pop</w:t>
      </w:r>
      <w:r w:rsidRPr="003A30B6">
        <w:rPr>
          <w:szCs w:val="32"/>
        </w:rPr>
        <w:t>u</w:t>
      </w:r>
      <w:r w:rsidRPr="003A30B6">
        <w:rPr>
          <w:szCs w:val="32"/>
        </w:rPr>
        <w:t>lation active d'entrer dans le salariat (notamment les jeunes sans qual</w:t>
      </w:r>
      <w:r w:rsidRPr="003A30B6">
        <w:rPr>
          <w:szCs w:val="32"/>
        </w:rPr>
        <w:t>i</w:t>
      </w:r>
      <w:r w:rsidRPr="003A30B6">
        <w:rPr>
          <w:szCs w:val="32"/>
        </w:rPr>
        <w:t>fication) ou de s'y maintenir (mise en retraite anticipée de pans entiers de la population ouvrière des secteurs Industriels en déclin : mines, sidérurgie, chantiers navals, textiles, etc.). Dans tous ces cas, par ai</w:t>
      </w:r>
      <w:r w:rsidRPr="003A30B6">
        <w:rPr>
          <w:szCs w:val="32"/>
        </w:rPr>
        <w:t>l</w:t>
      </w:r>
      <w:r w:rsidRPr="003A30B6">
        <w:rPr>
          <w:szCs w:val="32"/>
        </w:rPr>
        <w:t>leurs très différents, des populations se trouvent mises à l'écart, rel</w:t>
      </w:r>
      <w:r w:rsidRPr="003A30B6">
        <w:rPr>
          <w:szCs w:val="32"/>
        </w:rPr>
        <w:t>é</w:t>
      </w:r>
      <w:r w:rsidRPr="003A30B6">
        <w:rPr>
          <w:szCs w:val="32"/>
        </w:rPr>
        <w:t>guées à la marge, exclues en définitive non seulement d'une particip</w:t>
      </w:r>
      <w:r w:rsidRPr="003A30B6">
        <w:rPr>
          <w:szCs w:val="32"/>
        </w:rPr>
        <w:t>a</w:t>
      </w:r>
      <w:r w:rsidRPr="003A30B6">
        <w:rPr>
          <w:szCs w:val="32"/>
        </w:rPr>
        <w:t>tion régulière et continue à l'activité productive mais encore de la pe</w:t>
      </w:r>
      <w:r w:rsidRPr="003A30B6">
        <w:rPr>
          <w:szCs w:val="32"/>
        </w:rPr>
        <w:t>r</w:t>
      </w:r>
      <w:r w:rsidRPr="003A30B6">
        <w:rPr>
          <w:szCs w:val="32"/>
        </w:rPr>
        <w:t>ception régulière et continue de revenus professionnels, des standards de vie habituels, des organisations de la société civile (comme les syndicats), des mécanismes Institutionnels d'Intégration à la vie soci</w:t>
      </w:r>
      <w:r w:rsidRPr="003A30B6">
        <w:rPr>
          <w:szCs w:val="32"/>
        </w:rPr>
        <w:t>a</w:t>
      </w:r>
      <w:r w:rsidRPr="003A30B6">
        <w:rPr>
          <w:szCs w:val="32"/>
        </w:rPr>
        <w:t>le (par exemple par le biais de l'appareil scolaire) et, en défi</w:t>
      </w:r>
      <w:r>
        <w:rPr>
          <w:szCs w:val="32"/>
        </w:rPr>
        <w:t>nitive, du corps civique (déréli</w:t>
      </w:r>
      <w:r w:rsidRPr="003A30B6">
        <w:rPr>
          <w:szCs w:val="32"/>
        </w:rPr>
        <w:t>ction des droits, montée de l'absentéisme élect</w:t>
      </w:r>
      <w:r w:rsidRPr="003A30B6">
        <w:rPr>
          <w:szCs w:val="32"/>
        </w:rPr>
        <w:t>o</w:t>
      </w:r>
      <w:r w:rsidRPr="003A30B6">
        <w:rPr>
          <w:szCs w:val="32"/>
        </w:rPr>
        <w:t>ral, développement de l'Indifférence en matière politique, repli sur les Identités ethniques et religieuses fétich</w:t>
      </w:r>
      <w:r>
        <w:rPr>
          <w:szCs w:val="32"/>
        </w:rPr>
        <w:t>i</w:t>
      </w:r>
      <w:r w:rsidRPr="003A30B6">
        <w:rPr>
          <w:szCs w:val="32"/>
        </w:rPr>
        <w:t>sées).</w:t>
      </w:r>
    </w:p>
    <w:p w:rsidR="003F0EA0" w:rsidRPr="003A30B6" w:rsidRDefault="003F0EA0" w:rsidP="003F0EA0">
      <w:pPr>
        <w:spacing w:before="120" w:after="120"/>
        <w:jc w:val="both"/>
      </w:pPr>
      <w:r w:rsidRPr="003A30B6">
        <w:rPr>
          <w:szCs w:val="32"/>
        </w:rPr>
        <w:t>Pour n'être pas radicalement nouveaux, ces phénomènes ont connu, à partir de la fin des années 1970 et surtout dans le cours de la déce</w:t>
      </w:r>
      <w:r w:rsidRPr="003A30B6">
        <w:rPr>
          <w:szCs w:val="32"/>
        </w:rPr>
        <w:t>n</w:t>
      </w:r>
      <w:r w:rsidRPr="003A30B6">
        <w:rPr>
          <w:szCs w:val="32"/>
        </w:rPr>
        <w:t>nie suivante, une amplification considérable. Un grand nombre d'o</w:t>
      </w:r>
      <w:r w:rsidRPr="003A30B6">
        <w:rPr>
          <w:szCs w:val="32"/>
        </w:rPr>
        <w:t>b</w:t>
      </w:r>
      <w:r w:rsidRPr="003A30B6">
        <w:rPr>
          <w:szCs w:val="32"/>
        </w:rPr>
        <w:t>servateurs étaient alors persuadés que les sociétés occidentales étalent entrées dans une nouvelle phase de développement, nécessitant pour sa compréhension de nouveaux outils Intellectuels. Le paradigme de l'exclusion s'Imposa rapidement, tout en étant concurrencé par d'autres notions voisines qui firent leur apparition presque en même temps, comme celles de « nouvelle pauvreté »,</w:t>
      </w:r>
      <w:r>
        <w:rPr>
          <w:szCs w:val="32"/>
        </w:rPr>
        <w:t xml:space="preserve"> de « désinsertlon », de « désaffilia</w:t>
      </w:r>
      <w:r w:rsidRPr="003A30B6">
        <w:rPr>
          <w:szCs w:val="32"/>
        </w:rPr>
        <w:t>tion », etc.</w:t>
      </w:r>
      <w:r>
        <w:rPr>
          <w:szCs w:val="32"/>
        </w:rPr>
        <w:t> </w:t>
      </w:r>
      <w:r>
        <w:rPr>
          <w:rStyle w:val="Marquenotebasdepage"/>
          <w:szCs w:val="32"/>
        </w:rPr>
        <w:footnoteReference w:id="4"/>
      </w:r>
    </w:p>
    <w:p w:rsidR="003F0EA0" w:rsidRPr="003A30B6" w:rsidRDefault="003F0EA0" w:rsidP="003F0EA0">
      <w:pPr>
        <w:spacing w:before="120" w:after="120"/>
        <w:jc w:val="both"/>
      </w:pPr>
      <w:r w:rsidRPr="003A30B6">
        <w:rPr>
          <w:szCs w:val="32"/>
        </w:rPr>
        <w:t>La prédominance que s'est rapidement assurée la notion d'excl</w:t>
      </w:r>
      <w:r w:rsidRPr="003A30B6">
        <w:rPr>
          <w:szCs w:val="32"/>
        </w:rPr>
        <w:t>u</w:t>
      </w:r>
      <w:r w:rsidRPr="003A30B6">
        <w:rPr>
          <w:szCs w:val="32"/>
        </w:rPr>
        <w:t>sion est, à la réflexion, d'autant plus étonnante qu'elle n'explique en rien les phénomènes précédents : elle se contente, au mieux, de les constater et de les décrire, sans parvenir à en rendre réellement com</w:t>
      </w:r>
      <w:r w:rsidRPr="003A30B6">
        <w:rPr>
          <w:szCs w:val="32"/>
        </w:rPr>
        <w:t>p</w:t>
      </w:r>
      <w:r w:rsidRPr="003A30B6">
        <w:rPr>
          <w:szCs w:val="32"/>
        </w:rPr>
        <w:t>te dans leurs tenants et aboutissants. Sa puissance théorique nous semble en fait bien plus faible que celle des analyses Inspirées du p</w:t>
      </w:r>
      <w:r w:rsidRPr="003A30B6">
        <w:rPr>
          <w:szCs w:val="32"/>
        </w:rPr>
        <w:t>a</w:t>
      </w:r>
      <w:r w:rsidRPr="003A30B6">
        <w:rPr>
          <w:szCs w:val="32"/>
        </w:rPr>
        <w:t>radigme marxis</w:t>
      </w:r>
      <w:r>
        <w:rPr>
          <w:szCs w:val="32"/>
        </w:rPr>
        <w:t>te, même dans la version édulco</w:t>
      </w:r>
      <w:r w:rsidRPr="003A30B6">
        <w:rPr>
          <w:szCs w:val="32"/>
        </w:rPr>
        <w:t>rée qu'en donnait à la même époque I'« école de la régulation »</w:t>
      </w:r>
      <w:r>
        <w:rPr>
          <w:szCs w:val="32"/>
        </w:rPr>
        <w:t>. </w:t>
      </w:r>
      <w:r>
        <w:rPr>
          <w:rStyle w:val="Marquenotebasdepage"/>
          <w:szCs w:val="32"/>
        </w:rPr>
        <w:footnoteReference w:id="5"/>
      </w:r>
      <w:r w:rsidRPr="003A30B6">
        <w:rPr>
          <w:i/>
          <w:iCs/>
          <w:szCs w:val="32"/>
        </w:rPr>
        <w:t xml:space="preserve"> </w:t>
      </w:r>
      <w:r w:rsidRPr="003A30B6">
        <w:rPr>
          <w:szCs w:val="32"/>
        </w:rPr>
        <w:t>Relative ment aux anal</w:t>
      </w:r>
      <w:r w:rsidRPr="003A30B6">
        <w:rPr>
          <w:szCs w:val="32"/>
        </w:rPr>
        <w:t>y</w:t>
      </w:r>
      <w:r w:rsidRPr="003A30B6">
        <w:rPr>
          <w:szCs w:val="32"/>
        </w:rPr>
        <w:t>ses en termes d'exclusion, une analyse marxiste des phénomènes pr</w:t>
      </w:r>
      <w:r w:rsidRPr="003A30B6">
        <w:rPr>
          <w:szCs w:val="32"/>
        </w:rPr>
        <w:t>é</w:t>
      </w:r>
      <w:r w:rsidRPr="003A30B6">
        <w:rPr>
          <w:szCs w:val="32"/>
        </w:rPr>
        <w:t>cédents fournit en effet d'emblée les deux résultats essentiels suivants.</w:t>
      </w:r>
    </w:p>
    <w:p w:rsidR="003F0EA0" w:rsidRPr="003A30B6" w:rsidRDefault="003F0EA0" w:rsidP="003F0EA0">
      <w:pPr>
        <w:spacing w:before="120" w:after="120"/>
        <w:jc w:val="both"/>
      </w:pPr>
      <w:r w:rsidRPr="003A30B6">
        <w:rPr>
          <w:szCs w:val="32"/>
        </w:rPr>
        <w:t>D'une part, la soi-disant exclusion n'est qu'apparemment un ph</w:t>
      </w:r>
      <w:r w:rsidRPr="003A30B6">
        <w:rPr>
          <w:szCs w:val="32"/>
        </w:rPr>
        <w:t>é</w:t>
      </w:r>
      <w:r w:rsidRPr="003A30B6">
        <w:rPr>
          <w:szCs w:val="32"/>
        </w:rPr>
        <w:t xml:space="preserve">nomène nouveau. Elle n'est tout au plus qu'une nouvelle manifestation du processus permanent sur lequel repose </w:t>
      </w:r>
      <w:r w:rsidRPr="003A30B6">
        <w:rPr>
          <w:i/>
          <w:iCs/>
          <w:szCs w:val="32"/>
        </w:rPr>
        <w:t xml:space="preserve">In fine </w:t>
      </w:r>
      <w:r w:rsidRPr="003A30B6">
        <w:rPr>
          <w:szCs w:val="32"/>
        </w:rPr>
        <w:t>le tra</w:t>
      </w:r>
      <w:r>
        <w:rPr>
          <w:szCs w:val="32"/>
        </w:rPr>
        <w:t>vail salarié. Ce dernier n'impli</w:t>
      </w:r>
      <w:r w:rsidRPr="003A30B6">
        <w:rPr>
          <w:szCs w:val="32"/>
        </w:rPr>
        <w:t>que-t-il pas l'exploitation et la domination capitalistes du travail et leur présupposé, l'expropriation des producteurs Imm</w:t>
      </w:r>
      <w:r w:rsidRPr="003A30B6">
        <w:rPr>
          <w:szCs w:val="32"/>
        </w:rPr>
        <w:t>é</w:t>
      </w:r>
      <w:r w:rsidRPr="003A30B6">
        <w:rPr>
          <w:szCs w:val="32"/>
        </w:rPr>
        <w:t>diats ? Le travailleur libre » ne dispose que de sa force de travail De ce fait son Insertion dans le procès social de production et, plus la</w:t>
      </w:r>
      <w:r w:rsidRPr="003A30B6">
        <w:rPr>
          <w:szCs w:val="32"/>
        </w:rPr>
        <w:t>r</w:t>
      </w:r>
      <w:r w:rsidRPr="003A30B6">
        <w:rPr>
          <w:szCs w:val="32"/>
        </w:rPr>
        <w:t>gement, dans la vie sociale, comme la possibilité de se procurer des revenus stables et réguliers, dépendent du « marché du travail ». Sa capacité de vendre cette force, de trouver acquéreur pour elle, est par définition aléatoire. Marx a montré, dès le milieu du XIX</w:t>
      </w:r>
      <w:r w:rsidRPr="003A30B6">
        <w:rPr>
          <w:szCs w:val="32"/>
          <w:vertAlign w:val="superscript"/>
        </w:rPr>
        <w:t>e</w:t>
      </w:r>
      <w:r w:rsidRPr="003A30B6">
        <w:rPr>
          <w:szCs w:val="32"/>
        </w:rPr>
        <w:t xml:space="preserve"> siècle, que le capitalisme se caractérise en tant que mode de production, par l'In</w:t>
      </w:r>
      <w:r w:rsidRPr="003A30B6">
        <w:rPr>
          <w:szCs w:val="32"/>
        </w:rPr>
        <w:t>s</w:t>
      </w:r>
      <w:r w:rsidRPr="003A30B6">
        <w:rPr>
          <w:szCs w:val="32"/>
        </w:rPr>
        <w:t>tabilité généralisée des situations socio-professionnelles, qui aboutit à transformer de manière chronique une partie de la population en « surpopulation relative », faisant fonction d'« armée Industrielle de réserve », en « surnuméraires » que le procès de production tantôt e</w:t>
      </w:r>
      <w:r w:rsidRPr="003A30B6">
        <w:rPr>
          <w:szCs w:val="32"/>
        </w:rPr>
        <w:t>n</w:t>
      </w:r>
      <w:r w:rsidRPr="003A30B6">
        <w:rPr>
          <w:szCs w:val="32"/>
        </w:rPr>
        <w:t>rôle tantôt rejette, au gré des nécessités et des opportunités de l'acc</w:t>
      </w:r>
      <w:r w:rsidRPr="003A30B6">
        <w:rPr>
          <w:szCs w:val="32"/>
        </w:rPr>
        <w:t>u</w:t>
      </w:r>
      <w:r w:rsidRPr="003A30B6">
        <w:rPr>
          <w:szCs w:val="32"/>
        </w:rPr>
        <w:t xml:space="preserve">mulation du capital dans les différentes phases de son procès cyclique. Pour qui a lu un tant soit peu Marx et s'est convaincu à sa lecture que les processus dont </w:t>
      </w:r>
      <w:r>
        <w:rPr>
          <w:szCs w:val="32"/>
        </w:rPr>
        <w:t>il</w:t>
      </w:r>
      <w:r w:rsidRPr="003A30B6">
        <w:rPr>
          <w:szCs w:val="32"/>
        </w:rPr>
        <w:t xml:space="preserve"> avait traité restaient tout aussi actuels que la structure socio-économique capitaliste dont ils sont les manifestations permanentes, Il n'y a</w:t>
      </w:r>
      <w:r>
        <w:rPr>
          <w:szCs w:val="32"/>
        </w:rPr>
        <w:t xml:space="preserve"> </w:t>
      </w:r>
      <w:r w:rsidRPr="003A30B6">
        <w:rPr>
          <w:szCs w:val="32"/>
        </w:rPr>
        <w:t>nulle nouveauté radicale dans les phénomènes d'« exclusion » a</w:t>
      </w:r>
      <w:r w:rsidRPr="003A30B6">
        <w:rPr>
          <w:szCs w:val="32"/>
        </w:rPr>
        <w:t>p</w:t>
      </w:r>
      <w:r w:rsidRPr="003A30B6">
        <w:rPr>
          <w:szCs w:val="32"/>
        </w:rPr>
        <w:t>paraissant et se développant au tournant des années 1980.</w:t>
      </w:r>
    </w:p>
    <w:p w:rsidR="003F0EA0" w:rsidRPr="003A30B6" w:rsidRDefault="003F0EA0" w:rsidP="003F0EA0">
      <w:pPr>
        <w:spacing w:before="120" w:after="120"/>
        <w:jc w:val="both"/>
      </w:pPr>
      <w:r w:rsidRPr="003A30B6">
        <w:rPr>
          <w:szCs w:val="32"/>
        </w:rPr>
        <w:t xml:space="preserve">D'autre part, </w:t>
      </w:r>
      <w:r>
        <w:rPr>
          <w:szCs w:val="32"/>
        </w:rPr>
        <w:t>l’</w:t>
      </w:r>
      <w:r w:rsidRPr="003A30B6">
        <w:rPr>
          <w:i/>
          <w:iCs/>
          <w:szCs w:val="32"/>
        </w:rPr>
        <w:t xml:space="preserve">apparence </w:t>
      </w:r>
      <w:r w:rsidRPr="003A30B6">
        <w:rPr>
          <w:szCs w:val="32"/>
        </w:rPr>
        <w:t>de nouveauté de ces phénomènes est due â la manifestation brutale de cette expropriation qui a eu Heu. alors et depuis lors, dans le contexte de la crise d'une forme particulière du rapport sal</w:t>
      </w:r>
      <w:r>
        <w:rPr>
          <w:szCs w:val="32"/>
        </w:rPr>
        <w:t>arial, le rapport salarial fordi</w:t>
      </w:r>
      <w:r w:rsidRPr="003A30B6">
        <w:rPr>
          <w:szCs w:val="32"/>
        </w:rPr>
        <w:t>ste. Celui-ci est caractérisé par une forte Intégration (Inclusion) de la grande masse du salariat dans les différentes institutions composant le salariat : l'entreprise, l'univers de la consommation marchande, les équipements collectifs (par exemple l'habitat social) et les services publics (par exemple les org</w:t>
      </w:r>
      <w:r w:rsidRPr="003A30B6">
        <w:rPr>
          <w:szCs w:val="32"/>
        </w:rPr>
        <w:t>a</w:t>
      </w:r>
      <w:r w:rsidRPr="003A30B6">
        <w:rPr>
          <w:szCs w:val="32"/>
        </w:rPr>
        <w:t>nismes de protection sociale contre la maladie ou la vieillesse) ass</w:t>
      </w:r>
      <w:r w:rsidRPr="003A30B6">
        <w:rPr>
          <w:szCs w:val="32"/>
        </w:rPr>
        <w:t>u</w:t>
      </w:r>
      <w:r w:rsidRPr="003A30B6">
        <w:rPr>
          <w:szCs w:val="32"/>
        </w:rPr>
        <w:t>rant la reproduction de la force de travail, etc. Pendant quelques d</w:t>
      </w:r>
      <w:r w:rsidRPr="003A30B6">
        <w:rPr>
          <w:szCs w:val="32"/>
        </w:rPr>
        <w:t>é</w:t>
      </w:r>
      <w:r w:rsidRPr="003A30B6">
        <w:rPr>
          <w:szCs w:val="32"/>
        </w:rPr>
        <w:t>cennies, de la fin de la Seconde Guerre mondiale jusqu'au milieu des années 1970, le statut de travailleur salarié a été synonyme, pour une masse grandissante de salariés, de quasi garantie d'emploi, de croi</w:t>
      </w:r>
      <w:r w:rsidRPr="003A30B6">
        <w:rPr>
          <w:szCs w:val="32"/>
        </w:rPr>
        <w:t>s</w:t>
      </w:r>
      <w:r w:rsidRPr="003A30B6">
        <w:rPr>
          <w:szCs w:val="32"/>
        </w:rPr>
        <w:t>sance des salaires réels, d'accession à une norme de consommation régulièrement élargie, de couverture des risques existentiels par des systèmes publics de protection sociale, voire de promotion sociale s</w:t>
      </w:r>
      <w:r w:rsidRPr="003A30B6">
        <w:rPr>
          <w:szCs w:val="32"/>
        </w:rPr>
        <w:t>i</w:t>
      </w:r>
      <w:r w:rsidRPr="003A30B6">
        <w:rPr>
          <w:szCs w:val="32"/>
        </w:rPr>
        <w:t>non pour sol du moins pour ses descendants, etc. C'était là, en défin</w:t>
      </w:r>
      <w:r w:rsidRPr="003A30B6">
        <w:rPr>
          <w:szCs w:val="32"/>
        </w:rPr>
        <w:t>i</w:t>
      </w:r>
      <w:r w:rsidRPr="003A30B6">
        <w:rPr>
          <w:szCs w:val="32"/>
        </w:rPr>
        <w:t xml:space="preserve">tive, la conséquence bénéfique du compromis social arraché par le mouvement ouvrier au terme de décennies de luttes. Ce compromis garantissait en même temps </w:t>
      </w:r>
      <w:r>
        <w:rPr>
          <w:szCs w:val="32"/>
        </w:rPr>
        <w:t>à</w:t>
      </w:r>
      <w:r w:rsidRPr="003A30B6">
        <w:rPr>
          <w:szCs w:val="32"/>
        </w:rPr>
        <w:t xml:space="preserve"> la classe capitaliste la possibilité de poursuivre l'accumulation du capital et d'élargir l'assise de sa domin</w:t>
      </w:r>
      <w:r w:rsidRPr="003A30B6">
        <w:rPr>
          <w:szCs w:val="32"/>
        </w:rPr>
        <w:t>a</w:t>
      </w:r>
      <w:r w:rsidRPr="003A30B6">
        <w:rPr>
          <w:szCs w:val="32"/>
        </w:rPr>
        <w:t>tion.</w:t>
      </w:r>
    </w:p>
    <w:p w:rsidR="003F0EA0" w:rsidRPr="003A30B6" w:rsidRDefault="003F0EA0" w:rsidP="003F0EA0">
      <w:pPr>
        <w:spacing w:before="120" w:after="120"/>
        <w:jc w:val="both"/>
      </w:pPr>
      <w:r w:rsidRPr="003A30B6">
        <w:rPr>
          <w:szCs w:val="32"/>
        </w:rPr>
        <w:t>Dans cette perspective, dont nous ne retraçons Ici que les grandes lignes</w:t>
      </w:r>
      <w:r>
        <w:rPr>
          <w:szCs w:val="32"/>
        </w:rPr>
        <w:t> </w:t>
      </w:r>
      <w:r>
        <w:rPr>
          <w:rStyle w:val="Marquenotebasdepage"/>
          <w:szCs w:val="32"/>
        </w:rPr>
        <w:footnoteReference w:id="6"/>
      </w:r>
      <w:r w:rsidRPr="003A30B6">
        <w:rPr>
          <w:szCs w:val="32"/>
        </w:rPr>
        <w:t>, la réapparition et l'aggravation continue d'un chômage de masse, la montée du chômage de longue durée ou la prolifération des différentes formes de travail précaire s'expliquent en définitive par la crise de cette configuration particulière des rapports de classe qu</w:t>
      </w:r>
      <w:r>
        <w:rPr>
          <w:szCs w:val="32"/>
        </w:rPr>
        <w:t>'a été le rapport salarial fordi</w:t>
      </w:r>
      <w:r w:rsidRPr="003A30B6">
        <w:rPr>
          <w:szCs w:val="32"/>
        </w:rPr>
        <w:t>ste. Ce dernier est lui-même un aspect d'une crise plus vaste du ford</w:t>
      </w:r>
      <w:r>
        <w:rPr>
          <w:szCs w:val="32"/>
        </w:rPr>
        <w:t>i</w:t>
      </w:r>
      <w:r w:rsidRPr="003A30B6">
        <w:rPr>
          <w:szCs w:val="32"/>
        </w:rPr>
        <w:t>sme comme régime particulier d'accumul</w:t>
      </w:r>
      <w:r w:rsidRPr="003A30B6">
        <w:rPr>
          <w:szCs w:val="32"/>
        </w:rPr>
        <w:t>a</w:t>
      </w:r>
      <w:r w:rsidRPr="003A30B6">
        <w:rPr>
          <w:szCs w:val="32"/>
        </w:rPr>
        <w:t>tion. Ces phénomènes renvoient à la nécessité dans laquelle s'est tro</w:t>
      </w:r>
      <w:r w:rsidRPr="003A30B6">
        <w:rPr>
          <w:szCs w:val="32"/>
        </w:rPr>
        <w:t>u</w:t>
      </w:r>
      <w:r w:rsidRPr="003A30B6">
        <w:rPr>
          <w:szCs w:val="32"/>
        </w:rPr>
        <w:t>vé le capital d'Intensifier l'exploitation et de renouveler les formes de sa domination sur le travail à partir de la seconde moitié des années 1970. En</w:t>
      </w:r>
    </w:p>
    <w:p w:rsidR="003F0EA0" w:rsidRDefault="003F0EA0" w:rsidP="003F0EA0">
      <w:pPr>
        <w:spacing w:before="120" w:after="120"/>
        <w:jc w:val="both"/>
        <w:rPr>
          <w:szCs w:val="32"/>
        </w:rPr>
      </w:pPr>
      <w:r w:rsidRPr="003A30B6">
        <w:br w:type="page"/>
      </w:r>
    </w:p>
    <w:p w:rsidR="003F0EA0" w:rsidRPr="003A30B6" w:rsidRDefault="00470564" w:rsidP="003F0EA0">
      <w:pPr>
        <w:pStyle w:val="fig"/>
      </w:pPr>
      <w:r>
        <w:rPr>
          <w:noProof/>
          <w:lang w:val="fr-FR" w:eastAsia="fr-FR"/>
        </w:rPr>
        <w:drawing>
          <wp:inline distT="0" distB="0" distL="0" distR="0">
            <wp:extent cx="4991100" cy="3302000"/>
            <wp:effectExtent l="50800" t="25400" r="1270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2"/>
                    <a:srcRect/>
                    <a:stretch>
                      <a:fillRect/>
                    </a:stretch>
                  </pic:blipFill>
                  <pic:spPr bwMode="auto">
                    <a:xfrm>
                      <a:off x="0" y="0"/>
                      <a:ext cx="4991100" cy="3302000"/>
                    </a:xfrm>
                    <a:prstGeom prst="rect">
                      <a:avLst/>
                    </a:prstGeom>
                    <a:noFill/>
                    <a:ln w="19050" cmpd="sng">
                      <a:solidFill>
                        <a:srgbClr val="000000"/>
                      </a:solidFill>
                      <a:miter lim="800000"/>
                      <a:headEnd/>
                      <a:tailEnd/>
                    </a:ln>
                    <a:effectLst/>
                  </pic:spPr>
                </pic:pic>
              </a:graphicData>
            </a:graphic>
          </wp:inline>
        </w:drawing>
      </w:r>
    </w:p>
    <w:p w:rsidR="003F0EA0" w:rsidRPr="003A30B6" w:rsidRDefault="003F0EA0" w:rsidP="003F0EA0">
      <w:pPr>
        <w:pStyle w:val="figst0"/>
      </w:pPr>
      <w:r w:rsidRPr="003A30B6">
        <w:t>Fresque murale, B</w:t>
      </w:r>
      <w:r>
        <w:t>allmy Alley, Quartier Mission</w:t>
      </w:r>
      <w:r w:rsidRPr="003A30B6">
        <w:t>. Sa</w:t>
      </w:r>
      <w:r>
        <w:t>n Francisco, interrogation de l’é</w:t>
      </w:r>
      <w:r w:rsidRPr="003A30B6">
        <w:t xml:space="preserve">migrée mexicaine dans la société américaine. </w:t>
      </w:r>
      <w:r>
        <w:t>©</w:t>
      </w:r>
      <w:r w:rsidRPr="003A30B6">
        <w:t xml:space="preserve"> Anny Bloch</w:t>
      </w:r>
      <w:r>
        <w:t>.</w:t>
      </w:r>
    </w:p>
    <w:p w:rsidR="003F0EA0" w:rsidRDefault="003F0EA0" w:rsidP="003F0EA0">
      <w:pPr>
        <w:spacing w:before="120" w:after="120"/>
        <w:jc w:val="both"/>
        <w:rPr>
          <w:szCs w:val="32"/>
        </w:rPr>
      </w:pPr>
    </w:p>
    <w:p w:rsidR="003F0EA0" w:rsidRDefault="003F0EA0" w:rsidP="003F0EA0">
      <w:pPr>
        <w:spacing w:before="120" w:after="120"/>
        <w:jc w:val="both"/>
        <w:rPr>
          <w:szCs w:val="32"/>
        </w:rPr>
      </w:pPr>
    </w:p>
    <w:p w:rsidR="003F0EA0" w:rsidRPr="003A30B6" w:rsidRDefault="003F0EA0" w:rsidP="003F0EA0">
      <w:pPr>
        <w:spacing w:before="120" w:after="120"/>
        <w:ind w:firstLine="0"/>
        <w:jc w:val="both"/>
      </w:pPr>
      <w:r w:rsidRPr="003A30B6">
        <w:rPr>
          <w:szCs w:val="32"/>
        </w:rPr>
        <w:t>effet, après quelques décennies durant lesquelles le salariat avait été synonyme d'Intégration sociale, les aspects les plus brutaux de la s</w:t>
      </w:r>
      <w:r w:rsidRPr="003A30B6">
        <w:rPr>
          <w:szCs w:val="32"/>
        </w:rPr>
        <w:t>i</w:t>
      </w:r>
      <w:r w:rsidRPr="003A30B6">
        <w:rPr>
          <w:szCs w:val="32"/>
        </w:rPr>
        <w:t xml:space="preserve">tuation d'expropriation sur laquelle </w:t>
      </w:r>
      <w:r>
        <w:rPr>
          <w:szCs w:val="32"/>
        </w:rPr>
        <w:t>il</w:t>
      </w:r>
      <w:r w:rsidRPr="003A30B6">
        <w:rPr>
          <w:szCs w:val="32"/>
        </w:rPr>
        <w:t xml:space="preserve"> repose fondamentalement, ne pouv</w:t>
      </w:r>
      <w:r>
        <w:rPr>
          <w:szCs w:val="32"/>
        </w:rPr>
        <w:t>ait que prendre la forme de l’</w:t>
      </w:r>
      <w:r w:rsidRPr="003A30B6">
        <w:rPr>
          <w:szCs w:val="32"/>
        </w:rPr>
        <w:t>« exclusion ». Cette forme était d'autant plus Incompréhensible que toutes les médiations de l'analyse antérieure faisaient défaut aux observateurs et acteurs de ces phén</w:t>
      </w:r>
      <w:r w:rsidRPr="003A30B6">
        <w:rPr>
          <w:szCs w:val="32"/>
        </w:rPr>
        <w:t>o</w:t>
      </w:r>
      <w:r w:rsidRPr="003A30B6">
        <w:rPr>
          <w:szCs w:val="32"/>
        </w:rPr>
        <w:t>mènes.</w:t>
      </w:r>
    </w:p>
    <w:p w:rsidR="003F0EA0" w:rsidRPr="003A30B6" w:rsidRDefault="003F0EA0" w:rsidP="003F0EA0">
      <w:pPr>
        <w:spacing w:before="120" w:after="120"/>
        <w:jc w:val="both"/>
      </w:pPr>
      <w:r w:rsidRPr="003A30B6">
        <w:rPr>
          <w:szCs w:val="32"/>
        </w:rPr>
        <w:t>Il y avait donc d'autres approches possibles que celle de I« exclusion » pour rendre compte de ces phénomènes socio-économiques survenus au tournant des années 1980. Il faut cependant adjoindre deux raisons supplémentaires, proprement décisives, pour expliquer le succès du terme et du thème de l'exclusion.</w:t>
      </w:r>
    </w:p>
    <w:p w:rsidR="003F0EA0" w:rsidRPr="003A30B6" w:rsidRDefault="003F0EA0" w:rsidP="003F0EA0">
      <w:pPr>
        <w:spacing w:before="120" w:after="120"/>
        <w:jc w:val="both"/>
      </w:pPr>
      <w:r w:rsidRPr="003A30B6">
        <w:rPr>
          <w:szCs w:val="32"/>
        </w:rPr>
        <w:t>D'une part, l'éviction du paradigme marxiste en raison de l'effo</w:t>
      </w:r>
      <w:r w:rsidRPr="003A30B6">
        <w:rPr>
          <w:szCs w:val="32"/>
        </w:rPr>
        <w:t>n</w:t>
      </w:r>
      <w:r w:rsidRPr="003A30B6">
        <w:rPr>
          <w:szCs w:val="32"/>
        </w:rPr>
        <w:t>drement idéologique et pratique des modèles politiques et des mo</w:t>
      </w:r>
      <w:r w:rsidRPr="003A30B6">
        <w:rPr>
          <w:szCs w:val="32"/>
        </w:rPr>
        <w:t>u</w:t>
      </w:r>
      <w:r w:rsidRPr="003A30B6">
        <w:rPr>
          <w:szCs w:val="32"/>
        </w:rPr>
        <w:t>vements sociaux qui le supportaient jusqu'alors et qui lui conféraient une légitimité politique sinon académique. En effet, le modèle social-démocrate occidental, le « socialisme réellement existant » oriental de même que ce qu'on nommait classiquement le « mouvement ouvrier » entrent dans une crise profonde à partir de la fin des années 1970. Les multiples critiques qui se sont développées à partir de la seconde mo</w:t>
      </w:r>
      <w:r w:rsidRPr="003A30B6">
        <w:rPr>
          <w:szCs w:val="32"/>
        </w:rPr>
        <w:t>i</w:t>
      </w:r>
      <w:r w:rsidRPr="003A30B6">
        <w:rPr>
          <w:szCs w:val="32"/>
        </w:rPr>
        <w:t>tié de ces années, largement relayées par un ensemble de médias, comme par exemple celle promue par « la nouvelle philosophie ». ont compté parmi les préconditions du succès des paradigmes de substit</w:t>
      </w:r>
      <w:r w:rsidRPr="003A30B6">
        <w:rPr>
          <w:szCs w:val="32"/>
        </w:rPr>
        <w:t>u</w:t>
      </w:r>
      <w:r w:rsidRPr="003A30B6">
        <w:rPr>
          <w:szCs w:val="32"/>
        </w:rPr>
        <w:t>tion qui vont se diffuser dans les deux décennies suivantes. Celui de l'« exclusion » en est un des plus importants.</w:t>
      </w:r>
    </w:p>
    <w:p w:rsidR="003F0EA0" w:rsidRPr="003A30B6" w:rsidRDefault="003F0EA0" w:rsidP="003F0EA0">
      <w:pPr>
        <w:spacing w:before="120" w:after="120"/>
        <w:jc w:val="both"/>
      </w:pPr>
      <w:r w:rsidRPr="003A30B6">
        <w:rPr>
          <w:szCs w:val="32"/>
        </w:rPr>
        <w:t>D'autre part, dans ce contexte, la fonction remplie par ce paradi</w:t>
      </w:r>
      <w:r w:rsidRPr="003A30B6">
        <w:rPr>
          <w:szCs w:val="32"/>
        </w:rPr>
        <w:t>g</w:t>
      </w:r>
      <w:r w:rsidRPr="003A30B6">
        <w:rPr>
          <w:szCs w:val="32"/>
        </w:rPr>
        <w:t>me a été d'occulter et de délégitimer toute référence aux analyses de Marx et, ce faisant, de rendre indéchiffrables les phénomènes dits d'exclusion en termes d'aggravation et de renouvellement des formes d'exploitation et de domination, ce qu'ils sont pourtant fondamental</w:t>
      </w:r>
      <w:r w:rsidRPr="003A30B6">
        <w:rPr>
          <w:szCs w:val="32"/>
        </w:rPr>
        <w:t>e</w:t>
      </w:r>
      <w:r w:rsidRPr="003A30B6">
        <w:rPr>
          <w:szCs w:val="32"/>
        </w:rPr>
        <w:t>ment. Car, dans et par le développement du chômage, de la précarité, de la flexibilité, la déréglementation du rapport salarial en général, la remise en cause des acquis matériels et juridiques des travailleurs, ce qui s'est poursuivi et obtenu, c'est bien leur exploitation plus</w:t>
      </w:r>
      <w:r>
        <w:rPr>
          <w:szCs w:val="32"/>
        </w:rPr>
        <w:t xml:space="preserve"> </w:t>
      </w:r>
      <w:r w:rsidRPr="003A30B6">
        <w:rPr>
          <w:szCs w:val="32"/>
        </w:rPr>
        <w:t>intense en même temps que leur mise au pas générale. Les tenants du par</w:t>
      </w:r>
      <w:r w:rsidRPr="003A30B6">
        <w:rPr>
          <w:szCs w:val="32"/>
        </w:rPr>
        <w:t>a</w:t>
      </w:r>
      <w:r w:rsidRPr="003A30B6">
        <w:rPr>
          <w:szCs w:val="32"/>
        </w:rPr>
        <w:t>digme de « l'exclusion » font pudiquement silence sur ces phénom</w:t>
      </w:r>
      <w:r w:rsidRPr="003A30B6">
        <w:rPr>
          <w:szCs w:val="32"/>
        </w:rPr>
        <w:t>è</w:t>
      </w:r>
      <w:r w:rsidRPr="003A30B6">
        <w:rPr>
          <w:szCs w:val="32"/>
        </w:rPr>
        <w:t>nes. Ils Ignorent le processus d'expropriation sur lequel repose le ra</w:t>
      </w:r>
      <w:r w:rsidRPr="003A30B6">
        <w:rPr>
          <w:szCs w:val="32"/>
        </w:rPr>
        <w:t>p</w:t>
      </w:r>
      <w:r w:rsidRPr="003A30B6">
        <w:rPr>
          <w:szCs w:val="32"/>
        </w:rPr>
        <w:t>port salaria</w:t>
      </w:r>
      <w:r>
        <w:rPr>
          <w:szCs w:val="32"/>
        </w:rPr>
        <w:t>l. Ils refusent de voir dans 1'</w:t>
      </w:r>
      <w:r w:rsidRPr="003A30B6">
        <w:rPr>
          <w:szCs w:val="32"/>
        </w:rPr>
        <w:t>« exclusion » la manifest</w:t>
      </w:r>
      <w:r w:rsidRPr="003A30B6">
        <w:rPr>
          <w:szCs w:val="32"/>
        </w:rPr>
        <w:t>a</w:t>
      </w:r>
      <w:r w:rsidRPr="003A30B6">
        <w:rPr>
          <w:szCs w:val="32"/>
        </w:rPr>
        <w:t>tion extrême de ce processus.</w:t>
      </w:r>
    </w:p>
    <w:p w:rsidR="003F0EA0" w:rsidRDefault="003F0EA0" w:rsidP="003F0EA0">
      <w:pPr>
        <w:spacing w:before="120" w:after="120"/>
        <w:jc w:val="both"/>
        <w:rPr>
          <w:szCs w:val="32"/>
        </w:rPr>
      </w:pPr>
    </w:p>
    <w:p w:rsidR="003F0EA0" w:rsidRPr="003A30B6" w:rsidRDefault="003F0EA0" w:rsidP="003F0EA0">
      <w:pPr>
        <w:pStyle w:val="a"/>
      </w:pPr>
      <w:bookmarkStart w:id="5" w:name="Exclusion_I_2"/>
      <w:r w:rsidRPr="003A30B6">
        <w:t>2. Exemples rhétoriques</w:t>
      </w:r>
    </w:p>
    <w:bookmarkEnd w:id="5"/>
    <w:p w:rsidR="003F0EA0" w:rsidRDefault="003F0EA0" w:rsidP="003F0EA0">
      <w:pPr>
        <w:spacing w:before="120" w:after="120"/>
        <w:jc w:val="both"/>
        <w:rPr>
          <w:szCs w:val="32"/>
        </w:rPr>
      </w:pPr>
    </w:p>
    <w:p w:rsidR="003F0EA0" w:rsidRPr="00384B20" w:rsidRDefault="003F0EA0" w:rsidP="003F0EA0">
      <w:pPr>
        <w:ind w:right="90" w:firstLine="0"/>
        <w:jc w:val="both"/>
        <w:rPr>
          <w:sz w:val="20"/>
        </w:rPr>
      </w:pPr>
      <w:hyperlink w:anchor="tdm" w:history="1">
        <w:r w:rsidRPr="00384B20">
          <w:rPr>
            <w:rStyle w:val="Lienhypertexte"/>
            <w:sz w:val="20"/>
          </w:rPr>
          <w:t>Retour à la table des matières</w:t>
        </w:r>
      </w:hyperlink>
    </w:p>
    <w:p w:rsidR="003F0EA0" w:rsidRPr="003A30B6" w:rsidRDefault="003F0EA0" w:rsidP="003F0EA0">
      <w:pPr>
        <w:spacing w:before="120" w:after="120"/>
        <w:jc w:val="both"/>
      </w:pPr>
      <w:r w:rsidRPr="003A30B6">
        <w:rPr>
          <w:szCs w:val="32"/>
        </w:rPr>
        <w:t>Les propos généraux précédents pourraient être abondamment i</w:t>
      </w:r>
      <w:r w:rsidRPr="003A30B6">
        <w:rPr>
          <w:szCs w:val="32"/>
        </w:rPr>
        <w:t>l</w:t>
      </w:r>
      <w:r w:rsidRPr="003A30B6">
        <w:rPr>
          <w:szCs w:val="32"/>
        </w:rPr>
        <w:t>lustrés par une lecture critique des principales analyses utilisant le p</w:t>
      </w:r>
      <w:r w:rsidRPr="003A30B6">
        <w:rPr>
          <w:szCs w:val="32"/>
        </w:rPr>
        <w:t>a</w:t>
      </w:r>
      <w:r w:rsidRPr="003A30B6">
        <w:rPr>
          <w:szCs w:val="32"/>
        </w:rPr>
        <w:t>radigme de l'exclusion. Nous nous limiterons Ici à deux brefs exe</w:t>
      </w:r>
      <w:r w:rsidRPr="003A30B6">
        <w:rPr>
          <w:szCs w:val="32"/>
        </w:rPr>
        <w:t>m</w:t>
      </w:r>
      <w:r w:rsidRPr="003A30B6">
        <w:rPr>
          <w:szCs w:val="32"/>
        </w:rPr>
        <w:t xml:space="preserve">ples emblématiques : un article de Jacques Donzelot et Joël Roman publié en 1991 dans la revue </w:t>
      </w:r>
      <w:r w:rsidRPr="003A30B6">
        <w:rPr>
          <w:i/>
          <w:iCs/>
          <w:szCs w:val="32"/>
        </w:rPr>
        <w:t xml:space="preserve">Esprit </w:t>
      </w:r>
      <w:r w:rsidRPr="003A30B6">
        <w:rPr>
          <w:szCs w:val="32"/>
        </w:rPr>
        <w:t>sous le titre « Face à l'excl</w:t>
      </w:r>
      <w:r w:rsidRPr="003A30B6">
        <w:rPr>
          <w:szCs w:val="32"/>
        </w:rPr>
        <w:t>u</w:t>
      </w:r>
      <w:r w:rsidRPr="003A30B6">
        <w:rPr>
          <w:szCs w:val="32"/>
        </w:rPr>
        <w:t>sion » ; et un extrait d'un ouvrage de François Dubet et Didier L</w:t>
      </w:r>
      <w:r w:rsidRPr="003A30B6">
        <w:rPr>
          <w:szCs w:val="32"/>
        </w:rPr>
        <w:t>a</w:t>
      </w:r>
      <w:r w:rsidRPr="003A30B6">
        <w:rPr>
          <w:szCs w:val="32"/>
        </w:rPr>
        <w:t xml:space="preserve">peyronnie : Les </w:t>
      </w:r>
      <w:r w:rsidRPr="003A30B6">
        <w:rPr>
          <w:i/>
          <w:iCs/>
          <w:szCs w:val="32"/>
        </w:rPr>
        <w:t xml:space="preserve">quartiers d'exil </w:t>
      </w:r>
      <w:r w:rsidRPr="003A30B6">
        <w:rPr>
          <w:szCs w:val="32"/>
        </w:rPr>
        <w:t>datant de la même période.</w:t>
      </w:r>
    </w:p>
    <w:p w:rsidR="003F0EA0" w:rsidRPr="003A30B6" w:rsidRDefault="003F0EA0" w:rsidP="003F0EA0">
      <w:pPr>
        <w:spacing w:before="120" w:after="120"/>
        <w:jc w:val="both"/>
      </w:pPr>
      <w:r w:rsidRPr="003A30B6">
        <w:rPr>
          <w:szCs w:val="32"/>
        </w:rPr>
        <w:t>Dans l'introduction de leur texte, Jacques Donzelot et Joël Roman commencent par accepter l'Idée de la nécessaire réduction des effe</w:t>
      </w:r>
      <w:r w:rsidRPr="003A30B6">
        <w:rPr>
          <w:szCs w:val="32"/>
        </w:rPr>
        <w:t>c</w:t>
      </w:r>
      <w:r w:rsidRPr="003A30B6">
        <w:rPr>
          <w:szCs w:val="32"/>
        </w:rPr>
        <w:t>tifs dans les entreprises, en raison de la « </w:t>
      </w:r>
      <w:r w:rsidRPr="003A30B6">
        <w:rPr>
          <w:i/>
          <w:iCs/>
          <w:szCs w:val="32"/>
        </w:rPr>
        <w:t>modernisation »</w:t>
      </w:r>
      <w:r w:rsidRPr="003A30B6">
        <w:rPr>
          <w:szCs w:val="32"/>
        </w:rPr>
        <w:t xml:space="preserve"> en cours, sans s'interroger plus avant. Ils présentent par la suite cinq catégories hétérogènes d'individus qui seraient devenus surnuméraires du fait de leurs caractéristiques Individuelles et qui seraient en conséquence r</w:t>
      </w:r>
      <w:r w:rsidRPr="003A30B6">
        <w:rPr>
          <w:szCs w:val="32"/>
        </w:rPr>
        <w:t>e</w:t>
      </w:r>
      <w:r w:rsidRPr="003A30B6">
        <w:rPr>
          <w:szCs w:val="32"/>
        </w:rPr>
        <w:t>jetés.</w:t>
      </w:r>
      <w:r>
        <w:rPr>
          <w:szCs w:val="32"/>
        </w:rPr>
        <w:t xml:space="preserve"> </w:t>
      </w:r>
      <w:r w:rsidRPr="003A30B6">
        <w:rPr>
          <w:szCs w:val="32"/>
        </w:rPr>
        <w:t>Il s'agirait des Immigrés, des salariés déqualifiés, des jeunes, des handicapés et des « nouveaux pauvres ». Les auteurs déduisent de ces prémisses l'apparition « </w:t>
      </w:r>
      <w:r w:rsidRPr="003A30B6">
        <w:rPr>
          <w:i/>
          <w:iCs/>
          <w:szCs w:val="32"/>
        </w:rPr>
        <w:t>d'une nouvelle ligne de clivage »</w:t>
      </w:r>
      <w:r w:rsidRPr="003A30B6">
        <w:rPr>
          <w:szCs w:val="32"/>
        </w:rPr>
        <w:t xml:space="preserve"> au sein de la société qui dorénavant </w:t>
      </w:r>
      <w:r>
        <w:rPr>
          <w:szCs w:val="32"/>
        </w:rPr>
        <w:t>« </w:t>
      </w:r>
      <w:r w:rsidRPr="003A30B6">
        <w:rPr>
          <w:i/>
          <w:iCs/>
          <w:szCs w:val="32"/>
        </w:rPr>
        <w:t>ne sépare plus ses membres là où Ils produ</w:t>
      </w:r>
      <w:r w:rsidRPr="003A30B6">
        <w:rPr>
          <w:i/>
          <w:iCs/>
          <w:szCs w:val="32"/>
        </w:rPr>
        <w:t>i</w:t>
      </w:r>
      <w:r w:rsidRPr="003A30B6">
        <w:rPr>
          <w:i/>
          <w:iCs/>
          <w:szCs w:val="32"/>
        </w:rPr>
        <w:t>sent dans l'entreprise »</w:t>
      </w:r>
      <w:r w:rsidRPr="003A30B6">
        <w:rPr>
          <w:szCs w:val="32"/>
        </w:rPr>
        <w:t xml:space="preserve">. Le clivage central se situerait maintenant </w:t>
      </w:r>
      <w:r w:rsidRPr="003A30B6">
        <w:rPr>
          <w:i/>
          <w:iCs/>
          <w:szCs w:val="32"/>
        </w:rPr>
        <w:t>« là où Us vivent dans la ville, avec la discrimination entre les espaces réservés aux Ingénieurs, techniciens et cadres et ceux abandonnés aux populations sans qualifications »</w:t>
      </w:r>
      <w:r w:rsidRPr="003A30B6">
        <w:rPr>
          <w:szCs w:val="32"/>
        </w:rPr>
        <w:t>. Enfin, ils caractérisent les « </w:t>
      </w:r>
      <w:r w:rsidRPr="003A30B6">
        <w:rPr>
          <w:i/>
          <w:iCs/>
          <w:szCs w:val="32"/>
        </w:rPr>
        <w:t>banlieues populaires »</w:t>
      </w:r>
      <w:r w:rsidRPr="003A30B6">
        <w:rPr>
          <w:szCs w:val="32"/>
        </w:rPr>
        <w:t xml:space="preserve"> comme étant « </w:t>
      </w:r>
      <w:r w:rsidRPr="003A30B6">
        <w:rPr>
          <w:i/>
          <w:iCs/>
          <w:szCs w:val="32"/>
        </w:rPr>
        <w:t>hors-système »</w:t>
      </w:r>
      <w:r w:rsidRPr="003A30B6">
        <w:rPr>
          <w:szCs w:val="32"/>
        </w:rPr>
        <w:t>, « </w:t>
      </w:r>
      <w:r w:rsidRPr="003A30B6">
        <w:rPr>
          <w:i/>
          <w:iCs/>
          <w:szCs w:val="32"/>
        </w:rPr>
        <w:t>privées de leur raison d'être »</w:t>
      </w:r>
      <w:r w:rsidRPr="003A30B6">
        <w:rPr>
          <w:szCs w:val="32"/>
        </w:rPr>
        <w:t> : elles ne seraient plus « </w:t>
      </w:r>
      <w:r w:rsidRPr="003A30B6">
        <w:rPr>
          <w:i/>
          <w:iCs/>
          <w:szCs w:val="32"/>
        </w:rPr>
        <w:t>organiquement reliées à la ville »</w:t>
      </w:r>
      <w:r w:rsidRPr="003A30B6">
        <w:rPr>
          <w:szCs w:val="32"/>
        </w:rPr>
        <w:t> ; elles seraient devenues « </w:t>
      </w:r>
      <w:r w:rsidRPr="003A30B6">
        <w:rPr>
          <w:i/>
          <w:iCs/>
          <w:szCs w:val="32"/>
        </w:rPr>
        <w:t>synonymes d'exclusion »</w:t>
      </w:r>
      <w:r w:rsidRPr="003A30B6">
        <w:rPr>
          <w:szCs w:val="32"/>
        </w:rPr>
        <w:t>.</w:t>
      </w:r>
    </w:p>
    <w:p w:rsidR="003F0EA0" w:rsidRPr="003A30B6" w:rsidRDefault="003F0EA0" w:rsidP="003F0EA0">
      <w:pPr>
        <w:spacing w:before="120" w:after="120"/>
        <w:jc w:val="both"/>
      </w:pPr>
      <w:r w:rsidRPr="003A30B6">
        <w:rPr>
          <w:szCs w:val="32"/>
        </w:rPr>
        <w:t xml:space="preserve">Les auteurs opposent des </w:t>
      </w:r>
      <w:r w:rsidRPr="003A30B6">
        <w:rPr>
          <w:i/>
          <w:iCs/>
          <w:szCs w:val="32"/>
        </w:rPr>
        <w:t xml:space="preserve">espaces, </w:t>
      </w:r>
      <w:r w:rsidRPr="003A30B6">
        <w:rPr>
          <w:szCs w:val="32"/>
        </w:rPr>
        <w:t xml:space="preserve">et en l'occurrence des </w:t>
      </w:r>
      <w:r>
        <w:rPr>
          <w:i/>
          <w:iCs/>
          <w:szCs w:val="32"/>
        </w:rPr>
        <w:t>lieux de vie,</w:t>
      </w:r>
      <w:r w:rsidRPr="003A30B6">
        <w:rPr>
          <w:i/>
          <w:iCs/>
          <w:szCs w:val="32"/>
        </w:rPr>
        <w:t xml:space="preserve"> </w:t>
      </w:r>
      <w:r w:rsidRPr="003A30B6">
        <w:rPr>
          <w:szCs w:val="32"/>
        </w:rPr>
        <w:t>et non des groupes sociaux. L'opposition qu'ils considèrent co</w:t>
      </w:r>
      <w:r w:rsidRPr="003A30B6">
        <w:rPr>
          <w:szCs w:val="32"/>
        </w:rPr>
        <w:t>m</w:t>
      </w:r>
      <w:r w:rsidRPr="003A30B6">
        <w:rPr>
          <w:szCs w:val="32"/>
        </w:rPr>
        <w:t>me centrale n'est donc plus d'abord sociale, elle serait désormais pri</w:t>
      </w:r>
      <w:r w:rsidRPr="003A30B6">
        <w:rPr>
          <w:szCs w:val="32"/>
        </w:rPr>
        <w:t>n</w:t>
      </w:r>
      <w:r w:rsidRPr="003A30B6">
        <w:rPr>
          <w:szCs w:val="32"/>
        </w:rPr>
        <w:t xml:space="preserve">cipalement </w:t>
      </w:r>
      <w:r w:rsidRPr="003A30B6">
        <w:rPr>
          <w:i/>
          <w:iCs/>
          <w:szCs w:val="32"/>
        </w:rPr>
        <w:t xml:space="preserve">topologique. </w:t>
      </w:r>
      <w:r w:rsidRPr="003A30B6">
        <w:rPr>
          <w:szCs w:val="32"/>
        </w:rPr>
        <w:t>En outre, les ouvriers et les employés qui constitue</w:t>
      </w:r>
      <w:r>
        <w:rPr>
          <w:szCs w:val="32"/>
        </w:rPr>
        <w:t>nt pourtant toujours plus de 60</w:t>
      </w:r>
      <w:r w:rsidRPr="003A30B6">
        <w:rPr>
          <w:iCs/>
          <w:szCs w:val="32"/>
        </w:rPr>
        <w:t>%</w:t>
      </w:r>
      <w:r w:rsidRPr="003A30B6">
        <w:rPr>
          <w:i/>
          <w:iCs/>
          <w:szCs w:val="32"/>
        </w:rPr>
        <w:t xml:space="preserve"> </w:t>
      </w:r>
      <w:r w:rsidRPr="003A30B6">
        <w:rPr>
          <w:szCs w:val="32"/>
        </w:rPr>
        <w:t>des actifs occupés, et qui sont pour la plupart des salariés qualifiés, disparaissent du tableau, de même que la classe capitaliste.</w:t>
      </w:r>
    </w:p>
    <w:p w:rsidR="003F0EA0" w:rsidRPr="003A30B6" w:rsidRDefault="003F0EA0" w:rsidP="003F0EA0">
      <w:pPr>
        <w:spacing w:before="120" w:after="120"/>
        <w:jc w:val="both"/>
      </w:pPr>
      <w:r w:rsidRPr="003A30B6">
        <w:rPr>
          <w:szCs w:val="32"/>
        </w:rPr>
        <w:t>Nous trouvons une rhétorique proche chez François Dubet et D</w:t>
      </w:r>
      <w:r w:rsidRPr="003A30B6">
        <w:rPr>
          <w:szCs w:val="32"/>
        </w:rPr>
        <w:t>i</w:t>
      </w:r>
      <w:r w:rsidRPr="003A30B6">
        <w:rPr>
          <w:szCs w:val="32"/>
        </w:rPr>
        <w:t>dier Lapeyronnie, qui ont le mérite d'exposer explicitement leur th</w:t>
      </w:r>
      <w:r w:rsidRPr="003A30B6">
        <w:rPr>
          <w:szCs w:val="32"/>
        </w:rPr>
        <w:t>è</w:t>
      </w:r>
      <w:r w:rsidRPr="003A30B6">
        <w:rPr>
          <w:szCs w:val="32"/>
        </w:rPr>
        <w:t>se : « </w:t>
      </w:r>
      <w:r w:rsidRPr="003A30B6">
        <w:rPr>
          <w:i/>
          <w:iCs/>
          <w:szCs w:val="32"/>
        </w:rPr>
        <w:t>Jusqu'au milieu des</w:t>
      </w:r>
      <w:r>
        <w:rPr>
          <w:iCs/>
          <w:szCs w:val="32"/>
        </w:rPr>
        <w:t xml:space="preserve"> </w:t>
      </w:r>
      <w:r>
        <w:rPr>
          <w:szCs w:val="32"/>
        </w:rPr>
        <w:t xml:space="preserve">[126] </w:t>
      </w:r>
      <w:r w:rsidRPr="003A30B6">
        <w:rPr>
          <w:szCs w:val="32"/>
        </w:rPr>
        <w:t>années</w:t>
      </w:r>
      <w:r>
        <w:rPr>
          <w:szCs w:val="32"/>
        </w:rPr>
        <w:t> </w:t>
      </w:r>
      <w:r w:rsidRPr="003A30B6">
        <w:rPr>
          <w:i/>
          <w:iCs/>
          <w:szCs w:val="32"/>
        </w:rPr>
        <w:t>70</w:t>
      </w:r>
      <w:r>
        <w:rPr>
          <w:i/>
          <w:iCs/>
          <w:szCs w:val="32"/>
        </w:rPr>
        <w:t>,</w:t>
      </w:r>
      <w:r w:rsidRPr="003A30B6">
        <w:rPr>
          <w:i/>
          <w:iCs/>
          <w:szCs w:val="32"/>
        </w:rPr>
        <w:t xml:space="preserve"> les grèves ouvrières et l'action syndicale ont dessiné les contours de la question sociale. Puis, brutalement les banlieues et les émeutes urbaines les ont re</w:t>
      </w:r>
      <w:r w:rsidRPr="003A30B6">
        <w:rPr>
          <w:i/>
          <w:iCs/>
          <w:szCs w:val="32"/>
        </w:rPr>
        <w:t>m</w:t>
      </w:r>
      <w:r w:rsidRPr="003A30B6">
        <w:rPr>
          <w:i/>
          <w:iCs/>
          <w:szCs w:val="32"/>
        </w:rPr>
        <w:t>placées. Avec elles sont apparus sur le devant de la scène, les probl</w:t>
      </w:r>
      <w:r>
        <w:rPr>
          <w:i/>
          <w:iCs/>
          <w:szCs w:val="32"/>
        </w:rPr>
        <w:t>è</w:t>
      </w:r>
      <w:r>
        <w:rPr>
          <w:i/>
          <w:iCs/>
          <w:szCs w:val="32"/>
        </w:rPr>
        <w:t>mes de l'Immigration, delà déli</w:t>
      </w:r>
      <w:r w:rsidRPr="003A30B6">
        <w:rPr>
          <w:i/>
          <w:iCs/>
          <w:szCs w:val="32"/>
        </w:rPr>
        <w:t>nquance</w:t>
      </w:r>
      <w:r>
        <w:rPr>
          <w:i/>
          <w:iCs/>
          <w:szCs w:val="32"/>
        </w:rPr>
        <w:t xml:space="preserve"> juvéni</w:t>
      </w:r>
      <w:r w:rsidRPr="003A30B6">
        <w:rPr>
          <w:i/>
          <w:iCs/>
          <w:szCs w:val="32"/>
        </w:rPr>
        <w:t>le</w:t>
      </w:r>
      <w:r>
        <w:rPr>
          <w:i/>
          <w:iCs/>
          <w:szCs w:val="32"/>
        </w:rPr>
        <w:t xml:space="preserve"> </w:t>
      </w:r>
      <w:r w:rsidRPr="003A30B6">
        <w:rPr>
          <w:i/>
          <w:iCs/>
          <w:szCs w:val="32"/>
        </w:rPr>
        <w:t>et</w:t>
      </w:r>
      <w:r>
        <w:rPr>
          <w:i/>
          <w:iCs/>
          <w:szCs w:val="32"/>
        </w:rPr>
        <w:t xml:space="preserve"> </w:t>
      </w:r>
      <w:r w:rsidRPr="003A30B6">
        <w:rPr>
          <w:i/>
          <w:iCs/>
          <w:szCs w:val="32"/>
        </w:rPr>
        <w:t xml:space="preserve">de l'Insécurité. Les conflits du travail et l'entreprise ont laissé la place </w:t>
      </w:r>
      <w:r w:rsidRPr="003A30B6">
        <w:rPr>
          <w:szCs w:val="32"/>
        </w:rPr>
        <w:t xml:space="preserve">â </w:t>
      </w:r>
      <w:r w:rsidRPr="003A30B6">
        <w:rPr>
          <w:i/>
          <w:iCs/>
          <w:szCs w:val="32"/>
        </w:rPr>
        <w:t xml:space="preserve">l'exclusion et </w:t>
      </w:r>
      <w:r w:rsidRPr="003A30B6">
        <w:rPr>
          <w:szCs w:val="32"/>
        </w:rPr>
        <w:t xml:space="preserve">à </w:t>
      </w:r>
      <w:r w:rsidRPr="003A30B6">
        <w:rPr>
          <w:i/>
          <w:iCs/>
          <w:szCs w:val="32"/>
        </w:rPr>
        <w:t>la question de la ville, la ségrégation s'est substituée</w:t>
      </w:r>
      <w:r>
        <w:rPr>
          <w:i/>
          <w:iCs/>
          <w:szCs w:val="32"/>
        </w:rPr>
        <w:t xml:space="preserve"> </w:t>
      </w:r>
      <w:r w:rsidRPr="003A30B6">
        <w:rPr>
          <w:i/>
          <w:iCs/>
          <w:szCs w:val="32"/>
        </w:rPr>
        <w:t>à l'exploitation. Dans</w:t>
      </w:r>
      <w:r>
        <w:rPr>
          <w:i/>
          <w:iCs/>
          <w:szCs w:val="32"/>
        </w:rPr>
        <w:t xml:space="preserve"> </w:t>
      </w:r>
      <w:r w:rsidRPr="003A30B6">
        <w:rPr>
          <w:i/>
          <w:iCs/>
          <w:szCs w:val="32"/>
        </w:rPr>
        <w:t>une</w:t>
      </w:r>
      <w:r>
        <w:rPr>
          <w:i/>
          <w:iCs/>
          <w:szCs w:val="32"/>
        </w:rPr>
        <w:t xml:space="preserve"> </w:t>
      </w:r>
      <w:r w:rsidRPr="003A30B6">
        <w:rPr>
          <w:i/>
          <w:iCs/>
          <w:szCs w:val="32"/>
        </w:rPr>
        <w:t>soc</w:t>
      </w:r>
      <w:r>
        <w:rPr>
          <w:i/>
          <w:iCs/>
          <w:szCs w:val="32"/>
        </w:rPr>
        <w:t>i</w:t>
      </w:r>
      <w:r w:rsidRPr="003A30B6">
        <w:rPr>
          <w:i/>
          <w:iCs/>
          <w:szCs w:val="32"/>
        </w:rPr>
        <w:t>é</w:t>
      </w:r>
      <w:r>
        <w:rPr>
          <w:i/>
          <w:iCs/>
          <w:szCs w:val="32"/>
        </w:rPr>
        <w:t>té duale</w:t>
      </w:r>
      <w:r w:rsidRPr="003A30B6">
        <w:rPr>
          <w:i/>
          <w:iCs/>
          <w:szCs w:val="32"/>
        </w:rPr>
        <w:t>, la lutte des classes s'est effacée devant les questions de l'Intégration et de la ma</w:t>
      </w:r>
      <w:r w:rsidRPr="003A30B6">
        <w:rPr>
          <w:i/>
          <w:iCs/>
          <w:szCs w:val="32"/>
        </w:rPr>
        <w:t>r</w:t>
      </w:r>
      <w:r w:rsidRPr="003A30B6">
        <w:rPr>
          <w:i/>
          <w:iCs/>
          <w:szCs w:val="32"/>
        </w:rPr>
        <w:t xml:space="preserve">ginalité ». </w:t>
      </w:r>
      <w:r w:rsidRPr="003A30B6">
        <w:rPr>
          <w:szCs w:val="32"/>
        </w:rPr>
        <w:t>Plus loin, ces auteurs affirment, sans pour autant avancer d'arguments nouveaux : « </w:t>
      </w:r>
      <w:r w:rsidRPr="003A30B6">
        <w:rPr>
          <w:i/>
          <w:iCs/>
          <w:szCs w:val="32"/>
        </w:rPr>
        <w:t>Ces</w:t>
      </w:r>
      <w:r>
        <w:rPr>
          <w:i/>
          <w:iCs/>
          <w:szCs w:val="32"/>
        </w:rPr>
        <w:t xml:space="preserve"> questi</w:t>
      </w:r>
      <w:r w:rsidRPr="003A30B6">
        <w:rPr>
          <w:i/>
          <w:iCs/>
          <w:szCs w:val="32"/>
        </w:rPr>
        <w:t xml:space="preserve">ons </w:t>
      </w:r>
      <w:r w:rsidRPr="003A30B6">
        <w:rPr>
          <w:szCs w:val="32"/>
        </w:rPr>
        <w:t xml:space="preserve">(l'ancienne question sociale) </w:t>
      </w:r>
      <w:r w:rsidRPr="003A30B6">
        <w:rPr>
          <w:i/>
          <w:iCs/>
          <w:szCs w:val="32"/>
        </w:rPr>
        <w:t>ne sont plus au centre de la société. (...) L</w:t>
      </w:r>
      <w:r>
        <w:rPr>
          <w:i/>
          <w:iCs/>
          <w:szCs w:val="32"/>
        </w:rPr>
        <w:t>’</w:t>
      </w:r>
      <w:r w:rsidRPr="003A30B6">
        <w:rPr>
          <w:i/>
          <w:iCs/>
          <w:szCs w:val="32"/>
        </w:rPr>
        <w:t>exclusion est devenu le problème social majeur. (...) À une vie sociale Intégrée et conflictuelle, opposant et unissant dom</w:t>
      </w:r>
      <w:r w:rsidRPr="003A30B6">
        <w:rPr>
          <w:i/>
          <w:iCs/>
          <w:szCs w:val="32"/>
        </w:rPr>
        <w:t>i</w:t>
      </w:r>
      <w:r w:rsidRPr="003A30B6">
        <w:rPr>
          <w:i/>
          <w:iCs/>
          <w:szCs w:val="32"/>
        </w:rPr>
        <w:t>nants et dominés, ouvriers et patrons, ont succédé la rupture et une vie sociale brisée par la barrière sép</w:t>
      </w:r>
      <w:r w:rsidRPr="003A30B6">
        <w:rPr>
          <w:i/>
          <w:iCs/>
          <w:szCs w:val="32"/>
        </w:rPr>
        <w:t>a</w:t>
      </w:r>
      <w:r w:rsidRPr="003A30B6">
        <w:rPr>
          <w:i/>
          <w:iCs/>
          <w:szCs w:val="32"/>
        </w:rPr>
        <w:t xml:space="preserve">rant ceux du dehors et ceux du dedans. La population « reléguée » n'est plus exploitée ou dominée. Elle est hors de la société et réduite </w:t>
      </w:r>
      <w:r w:rsidRPr="003A30B6">
        <w:rPr>
          <w:szCs w:val="32"/>
        </w:rPr>
        <w:t xml:space="preserve">à </w:t>
      </w:r>
      <w:r w:rsidRPr="003A30B6">
        <w:rPr>
          <w:i/>
          <w:iCs/>
          <w:szCs w:val="32"/>
        </w:rPr>
        <w:t>une série de problèmes s</w:t>
      </w:r>
      <w:r w:rsidRPr="003A30B6">
        <w:rPr>
          <w:i/>
          <w:iCs/>
          <w:szCs w:val="32"/>
        </w:rPr>
        <w:t>o</w:t>
      </w:r>
      <w:r w:rsidRPr="003A30B6">
        <w:rPr>
          <w:i/>
          <w:iCs/>
          <w:szCs w:val="32"/>
        </w:rPr>
        <w:t xml:space="preserve">ciaux ». </w:t>
      </w:r>
      <w:r w:rsidRPr="003A30B6">
        <w:rPr>
          <w:szCs w:val="32"/>
        </w:rPr>
        <w:t>Nous n'Insisterons pas Ici sur les amalgames effectués dans la première partie du texte cité, ni sur le retour annoncé des « classes dangereuses »</w:t>
      </w:r>
      <w:r w:rsidRPr="003A30B6">
        <w:rPr>
          <w:i/>
          <w:iCs/>
          <w:szCs w:val="32"/>
        </w:rPr>
        <w:t xml:space="preserve"> </w:t>
      </w:r>
      <w:r w:rsidRPr="003A30B6">
        <w:rPr>
          <w:szCs w:val="32"/>
        </w:rPr>
        <w:t>qui paradoxalement serait concomitant à la fin de la lutte des classes ! L'essentiel pour nos a</w:t>
      </w:r>
      <w:r w:rsidRPr="003A30B6">
        <w:rPr>
          <w:szCs w:val="32"/>
        </w:rPr>
        <w:t>u</w:t>
      </w:r>
      <w:r w:rsidRPr="003A30B6">
        <w:rPr>
          <w:szCs w:val="32"/>
        </w:rPr>
        <w:t xml:space="preserve">teurs est de récuser, comme le </w:t>
      </w:r>
      <w:r>
        <w:rPr>
          <w:szCs w:val="32"/>
        </w:rPr>
        <w:t>dit Alain Tourai</w:t>
      </w:r>
      <w:r w:rsidRPr="003A30B6">
        <w:rPr>
          <w:szCs w:val="32"/>
        </w:rPr>
        <w:t xml:space="preserve">ne dans </w:t>
      </w:r>
      <w:r w:rsidRPr="00626117">
        <w:rPr>
          <w:i/>
          <w:iCs/>
          <w:szCs w:val="32"/>
        </w:rPr>
        <w:t>Le Grand R</w:t>
      </w:r>
      <w:r w:rsidRPr="00626117">
        <w:rPr>
          <w:i/>
          <w:iCs/>
          <w:szCs w:val="32"/>
        </w:rPr>
        <w:t>e</w:t>
      </w:r>
      <w:r w:rsidRPr="00626117">
        <w:rPr>
          <w:i/>
          <w:iCs/>
          <w:szCs w:val="32"/>
        </w:rPr>
        <w:t>fus</w:t>
      </w:r>
      <w:r>
        <w:rPr>
          <w:i/>
          <w:iCs/>
          <w:szCs w:val="32"/>
        </w:rPr>
        <w:t>,</w:t>
      </w:r>
      <w:r w:rsidRPr="003A30B6">
        <w:rPr>
          <w:i/>
          <w:iCs/>
          <w:szCs w:val="32"/>
        </w:rPr>
        <w:t xml:space="preserve"> </w:t>
      </w:r>
      <w:r w:rsidRPr="003A30B6">
        <w:rPr>
          <w:szCs w:val="32"/>
        </w:rPr>
        <w:t>le « </w:t>
      </w:r>
      <w:r w:rsidRPr="003A30B6">
        <w:rPr>
          <w:i/>
          <w:iCs/>
          <w:szCs w:val="32"/>
        </w:rPr>
        <w:t>concept de lutte de classe associé à celui de contradictions sociales ».</w:t>
      </w:r>
    </w:p>
    <w:p w:rsidR="003F0EA0" w:rsidRPr="003A30B6" w:rsidRDefault="003F0EA0" w:rsidP="003F0EA0">
      <w:pPr>
        <w:spacing w:before="120" w:after="120"/>
        <w:jc w:val="both"/>
      </w:pPr>
      <w:r w:rsidRPr="003A30B6">
        <w:rPr>
          <w:szCs w:val="32"/>
        </w:rPr>
        <w:t>Cette pseudo-description permet d'occulter ce que ces auteurs qu</w:t>
      </w:r>
      <w:r w:rsidRPr="003A30B6">
        <w:rPr>
          <w:szCs w:val="32"/>
        </w:rPr>
        <w:t>a</w:t>
      </w:r>
      <w:r w:rsidRPr="003A30B6">
        <w:rPr>
          <w:szCs w:val="32"/>
        </w:rPr>
        <w:t>lifient d'« ancienne question sociale »</w:t>
      </w:r>
      <w:r w:rsidRPr="003A30B6">
        <w:rPr>
          <w:i/>
          <w:iCs/>
          <w:szCs w:val="32"/>
        </w:rPr>
        <w:t xml:space="preserve">. </w:t>
      </w:r>
      <w:r w:rsidRPr="003A30B6">
        <w:rPr>
          <w:szCs w:val="32"/>
        </w:rPr>
        <w:t>Ce discours centré sur l'excl</w:t>
      </w:r>
      <w:r w:rsidRPr="003A30B6">
        <w:rPr>
          <w:szCs w:val="32"/>
        </w:rPr>
        <w:t>u</w:t>
      </w:r>
      <w:r w:rsidRPr="003A30B6">
        <w:rPr>
          <w:szCs w:val="32"/>
        </w:rPr>
        <w:t>sion voile les ressorts profonds de la réalité qu'il semble dénoncer Le rapport spécifique qui se noue dans la production, dans le travail sal</w:t>
      </w:r>
      <w:r w:rsidRPr="003A30B6">
        <w:rPr>
          <w:szCs w:val="32"/>
        </w:rPr>
        <w:t>a</w:t>
      </w:r>
      <w:r w:rsidRPr="003A30B6">
        <w:rPr>
          <w:szCs w:val="32"/>
        </w:rPr>
        <w:t>rié, et en premier lieu les procédures bien réelles de l'exploitation et de la domination capitalistes, est éludé. De la même manière, cette rhét</w:t>
      </w:r>
      <w:r w:rsidRPr="003A30B6">
        <w:rPr>
          <w:szCs w:val="32"/>
        </w:rPr>
        <w:t>o</w:t>
      </w:r>
      <w:r w:rsidRPr="003A30B6">
        <w:rPr>
          <w:szCs w:val="32"/>
        </w:rPr>
        <w:t>rique ne propose pas de s'attaquer frontalement au chômage et à la précarité. Elle se contente de préconiser la mise en œuvre de polit</w:t>
      </w:r>
      <w:r w:rsidRPr="003A30B6">
        <w:rPr>
          <w:szCs w:val="32"/>
        </w:rPr>
        <w:t>i</w:t>
      </w:r>
      <w:r w:rsidRPr="003A30B6">
        <w:rPr>
          <w:szCs w:val="32"/>
        </w:rPr>
        <w:t xml:space="preserve">ques </w:t>
      </w:r>
      <w:r w:rsidRPr="003A30B6">
        <w:rPr>
          <w:i/>
          <w:iCs/>
          <w:szCs w:val="32"/>
        </w:rPr>
        <w:t>topo</w:t>
      </w:r>
      <w:r>
        <w:rPr>
          <w:i/>
          <w:iCs/>
          <w:szCs w:val="32"/>
        </w:rPr>
        <w:t>logi</w:t>
      </w:r>
      <w:r w:rsidRPr="003A30B6">
        <w:rPr>
          <w:i/>
          <w:iCs/>
          <w:szCs w:val="32"/>
        </w:rPr>
        <w:t>ques</w:t>
      </w:r>
      <w:r w:rsidRPr="003A30B6">
        <w:rPr>
          <w:i/>
          <w:iCs/>
          <w:szCs w:val="32"/>
          <w:vertAlign w:val="subscript"/>
        </w:rPr>
        <w:t>t</w:t>
      </w:r>
      <w:r w:rsidRPr="003A30B6">
        <w:rPr>
          <w:i/>
          <w:iCs/>
          <w:szCs w:val="32"/>
        </w:rPr>
        <w:t xml:space="preserve"> « </w:t>
      </w:r>
      <w:r w:rsidRPr="003A30B6">
        <w:rPr>
          <w:szCs w:val="32"/>
        </w:rPr>
        <w:t>politique de la ville », « conventions de qua</w:t>
      </w:r>
      <w:r w:rsidRPr="003A30B6">
        <w:rPr>
          <w:szCs w:val="32"/>
        </w:rPr>
        <w:t>r</w:t>
      </w:r>
      <w:r w:rsidRPr="003A30B6">
        <w:rPr>
          <w:szCs w:val="32"/>
        </w:rPr>
        <w:t>tier », etc. La substitution de l'opposition « in »</w:t>
      </w:r>
      <w:r>
        <w:rPr>
          <w:szCs w:val="32"/>
        </w:rPr>
        <w:t xml:space="preserve"> /</w:t>
      </w:r>
      <w:r w:rsidRPr="003A30B6">
        <w:rPr>
          <w:i/>
          <w:iCs/>
          <w:szCs w:val="32"/>
        </w:rPr>
        <w:t xml:space="preserve"> </w:t>
      </w:r>
      <w:r w:rsidRPr="003A30B6">
        <w:rPr>
          <w:szCs w:val="32"/>
        </w:rPr>
        <w:t>« out »</w:t>
      </w:r>
      <w:r w:rsidRPr="003A30B6">
        <w:rPr>
          <w:i/>
          <w:iCs/>
          <w:szCs w:val="32"/>
        </w:rPr>
        <w:t xml:space="preserve"> </w:t>
      </w:r>
      <w:r>
        <w:rPr>
          <w:szCs w:val="32"/>
        </w:rPr>
        <w:t>à</w:t>
      </w:r>
      <w:r w:rsidRPr="003A30B6">
        <w:rPr>
          <w:szCs w:val="32"/>
        </w:rPr>
        <w:t xml:space="preserve"> l'opposition « haut » / « bas »</w:t>
      </w:r>
      <w:r>
        <w:rPr>
          <w:szCs w:val="32"/>
        </w:rPr>
        <w:t>,</w:t>
      </w:r>
      <w:r w:rsidRPr="003A30B6">
        <w:rPr>
          <w:szCs w:val="32"/>
        </w:rPr>
        <w:t xml:space="preserve"> défendue par les mêmes auteurs, participe du même processus, c'est-à-dire à l'éviction du paradigme de la domination et de l'exploitation, </w:t>
      </w:r>
      <w:r>
        <w:rPr>
          <w:szCs w:val="32"/>
        </w:rPr>
        <w:t>même dans sa version plus allusi</w:t>
      </w:r>
      <w:r w:rsidRPr="003A30B6">
        <w:rPr>
          <w:szCs w:val="32"/>
        </w:rPr>
        <w:t>ve, centrée sur</w:t>
      </w:r>
      <w:r>
        <w:rPr>
          <w:szCs w:val="32"/>
        </w:rPr>
        <w:t xml:space="preserve"> </w:t>
      </w:r>
      <w:r w:rsidRPr="003A30B6">
        <w:rPr>
          <w:szCs w:val="32"/>
        </w:rPr>
        <w:t>la que</w:t>
      </w:r>
      <w:r w:rsidRPr="003A30B6">
        <w:rPr>
          <w:szCs w:val="32"/>
        </w:rPr>
        <w:t>s</w:t>
      </w:r>
      <w:r w:rsidRPr="003A30B6">
        <w:rPr>
          <w:szCs w:val="32"/>
        </w:rPr>
        <w:t>tion des Inégalités. La notion d'exclusion place en situation d'extéri</w:t>
      </w:r>
      <w:r w:rsidRPr="003A30B6">
        <w:rPr>
          <w:szCs w:val="32"/>
        </w:rPr>
        <w:t>o</w:t>
      </w:r>
      <w:r w:rsidRPr="003A30B6">
        <w:rPr>
          <w:szCs w:val="32"/>
        </w:rPr>
        <w:t>rité apparente par rapport au cœur de la vie économique et sociale les populations qui sont les premières victimes du rapport s</w:t>
      </w:r>
      <w:r w:rsidRPr="003A30B6">
        <w:rPr>
          <w:szCs w:val="32"/>
        </w:rPr>
        <w:t>o</w:t>
      </w:r>
      <w:r w:rsidRPr="003A30B6">
        <w:rPr>
          <w:szCs w:val="32"/>
        </w:rPr>
        <w:t>cial central : le capital.</w:t>
      </w:r>
    </w:p>
    <w:p w:rsidR="003F0EA0" w:rsidRDefault="003F0EA0" w:rsidP="003F0EA0">
      <w:pPr>
        <w:spacing w:before="120" w:after="120"/>
        <w:jc w:val="both"/>
        <w:rPr>
          <w:szCs w:val="42"/>
        </w:rPr>
      </w:pPr>
      <w:r>
        <w:rPr>
          <w:szCs w:val="42"/>
        </w:rPr>
        <w:br w:type="page"/>
      </w:r>
    </w:p>
    <w:p w:rsidR="003F0EA0" w:rsidRPr="003A30B6" w:rsidRDefault="003F0EA0" w:rsidP="003F0EA0">
      <w:pPr>
        <w:pStyle w:val="planche"/>
      </w:pPr>
      <w:bookmarkStart w:id="6" w:name="Exclusion_II"/>
      <w:r>
        <w:t xml:space="preserve">II. </w:t>
      </w:r>
      <w:r w:rsidRPr="003A30B6">
        <w:t>Une long</w:t>
      </w:r>
      <w:r>
        <w:t>ue tradition d'occultation</w:t>
      </w:r>
      <w:r>
        <w:br/>
      </w:r>
      <w:r w:rsidRPr="003A30B6">
        <w:t>du conflit</w:t>
      </w:r>
      <w:r>
        <w:t xml:space="preserve"> </w:t>
      </w:r>
      <w:r w:rsidRPr="003A30B6">
        <w:t>social</w:t>
      </w:r>
    </w:p>
    <w:bookmarkEnd w:id="6"/>
    <w:p w:rsidR="003F0EA0" w:rsidRDefault="003F0EA0" w:rsidP="003F0EA0">
      <w:pPr>
        <w:spacing w:before="120" w:after="120"/>
        <w:jc w:val="both"/>
      </w:pPr>
    </w:p>
    <w:p w:rsidR="003F0EA0" w:rsidRPr="00384B20" w:rsidRDefault="003F0EA0" w:rsidP="003F0EA0">
      <w:pPr>
        <w:ind w:right="90" w:firstLine="0"/>
        <w:jc w:val="both"/>
        <w:rPr>
          <w:sz w:val="20"/>
        </w:rPr>
      </w:pPr>
      <w:hyperlink w:anchor="tdm" w:history="1">
        <w:r w:rsidRPr="00384B20">
          <w:rPr>
            <w:rStyle w:val="Lienhypertexte"/>
            <w:sz w:val="20"/>
          </w:rPr>
          <w:t>Retour à la table des matières</w:t>
        </w:r>
      </w:hyperlink>
    </w:p>
    <w:p w:rsidR="003F0EA0" w:rsidRPr="003A30B6" w:rsidRDefault="003F0EA0" w:rsidP="003F0EA0">
      <w:pPr>
        <w:spacing w:before="120" w:after="120"/>
        <w:jc w:val="both"/>
      </w:pPr>
      <w:r w:rsidRPr="003A30B6">
        <w:rPr>
          <w:szCs w:val="32"/>
        </w:rPr>
        <w:t>La promotion médiatique et universitaire de la notion d'« exclusion »</w:t>
      </w:r>
      <w:r w:rsidRPr="003A30B6">
        <w:rPr>
          <w:i/>
          <w:iCs/>
          <w:szCs w:val="32"/>
        </w:rPr>
        <w:t xml:space="preserve"> </w:t>
      </w:r>
      <w:r w:rsidRPr="003A30B6">
        <w:rPr>
          <w:szCs w:val="32"/>
        </w:rPr>
        <w:t>a eu pour effet et sens d'occulter et d'écarter le par</w:t>
      </w:r>
      <w:r w:rsidRPr="003A30B6">
        <w:rPr>
          <w:szCs w:val="32"/>
        </w:rPr>
        <w:t>a</w:t>
      </w:r>
      <w:r w:rsidRPr="003A30B6">
        <w:rPr>
          <w:szCs w:val="32"/>
        </w:rPr>
        <w:t>digme marxiste. L'examen des présupposés théoriques de cette notion nous permettra de mettre en évidence sa dette à l'égard de la tradition sociologique française dans ce qu'elle Implique d'occultation récurre</w:t>
      </w:r>
      <w:r w:rsidRPr="003A30B6">
        <w:rPr>
          <w:szCs w:val="32"/>
        </w:rPr>
        <w:t>n</w:t>
      </w:r>
      <w:r w:rsidRPr="003A30B6">
        <w:rPr>
          <w:szCs w:val="32"/>
        </w:rPr>
        <w:t>te du conflit social</w:t>
      </w:r>
    </w:p>
    <w:p w:rsidR="003F0EA0" w:rsidRDefault="003F0EA0" w:rsidP="003F0EA0">
      <w:pPr>
        <w:spacing w:before="120" w:after="120"/>
        <w:jc w:val="both"/>
        <w:rPr>
          <w:szCs w:val="32"/>
        </w:rPr>
      </w:pPr>
    </w:p>
    <w:p w:rsidR="003F0EA0" w:rsidRPr="003A30B6" w:rsidRDefault="003F0EA0" w:rsidP="003F0EA0">
      <w:pPr>
        <w:pStyle w:val="a"/>
      </w:pPr>
      <w:bookmarkStart w:id="7" w:name="Exclusion_II_1"/>
      <w:r w:rsidRPr="003A30B6">
        <w:t>1. « Lien social » ou « rapport social » ?</w:t>
      </w:r>
    </w:p>
    <w:bookmarkEnd w:id="7"/>
    <w:p w:rsidR="003F0EA0" w:rsidRDefault="003F0EA0" w:rsidP="003F0EA0">
      <w:pPr>
        <w:spacing w:before="120" w:after="120"/>
        <w:jc w:val="both"/>
        <w:rPr>
          <w:szCs w:val="32"/>
        </w:rPr>
      </w:pPr>
    </w:p>
    <w:p w:rsidR="003F0EA0" w:rsidRPr="003A30B6" w:rsidRDefault="003F0EA0" w:rsidP="003F0EA0">
      <w:pPr>
        <w:spacing w:before="120" w:after="120"/>
        <w:jc w:val="both"/>
      </w:pPr>
      <w:r w:rsidRPr="003A30B6">
        <w:rPr>
          <w:szCs w:val="32"/>
        </w:rPr>
        <w:t xml:space="preserve">Chez bon nombre d'auteurs qui ont assuré son succès s'ajoute l'usage aussi Immodéré qu'irréfléchi d'une autre notion, celle de </w:t>
      </w:r>
      <w:r w:rsidRPr="003A30B6">
        <w:rPr>
          <w:i/>
          <w:iCs/>
          <w:szCs w:val="32"/>
        </w:rPr>
        <w:t xml:space="preserve">lien social. </w:t>
      </w:r>
      <w:r w:rsidRPr="003A30B6">
        <w:rPr>
          <w:szCs w:val="32"/>
        </w:rPr>
        <w:t>L'exclusion est alors présentée, Implicitement ou explicit</w:t>
      </w:r>
      <w:r w:rsidRPr="003A30B6">
        <w:rPr>
          <w:szCs w:val="32"/>
        </w:rPr>
        <w:t>e</w:t>
      </w:r>
      <w:r w:rsidRPr="003A30B6">
        <w:rPr>
          <w:szCs w:val="32"/>
        </w:rPr>
        <w:t>ment, comme un relâchement, une rupture voire une perte du lien s</w:t>
      </w:r>
      <w:r w:rsidRPr="003A30B6">
        <w:rPr>
          <w:szCs w:val="32"/>
        </w:rPr>
        <w:t>o</w:t>
      </w:r>
      <w:r w:rsidRPr="003A30B6">
        <w:rPr>
          <w:szCs w:val="32"/>
        </w:rPr>
        <w:t>cial : et la lutte contre l'exclusion reviendrait essentiellement à le rét</w:t>
      </w:r>
      <w:r w:rsidRPr="003A30B6">
        <w:rPr>
          <w:szCs w:val="32"/>
        </w:rPr>
        <w:t>a</w:t>
      </w:r>
      <w:r w:rsidRPr="003A30B6">
        <w:rPr>
          <w:szCs w:val="32"/>
        </w:rPr>
        <w:t xml:space="preserve">blir, le renouer ou le retisser On pourrait répéter </w:t>
      </w:r>
      <w:r>
        <w:rPr>
          <w:i/>
          <w:iCs/>
          <w:szCs w:val="32"/>
        </w:rPr>
        <w:t>mutatis mutandi</w:t>
      </w:r>
      <w:r w:rsidRPr="003A30B6">
        <w:rPr>
          <w:i/>
          <w:iCs/>
          <w:szCs w:val="32"/>
        </w:rPr>
        <w:t xml:space="preserve">s </w:t>
      </w:r>
      <w:r>
        <w:rPr>
          <w:szCs w:val="32"/>
        </w:rPr>
        <w:t>à</w:t>
      </w:r>
      <w:r w:rsidRPr="003A30B6">
        <w:rPr>
          <w:szCs w:val="32"/>
        </w:rPr>
        <w:t xml:space="preserve"> propos de la notion de lien social les critiques que nous avons adre</w:t>
      </w:r>
      <w:r w:rsidRPr="003A30B6">
        <w:rPr>
          <w:szCs w:val="32"/>
        </w:rPr>
        <w:t>s</w:t>
      </w:r>
      <w:r w:rsidRPr="003A30B6">
        <w:rPr>
          <w:szCs w:val="32"/>
        </w:rPr>
        <w:t xml:space="preserve">sées à celle d'exclusion. Notion métaphorique, relevant de l'Image plus que du concept, notion-leitmotiv, elle sert essentiellement à faire écran et obstacle à un autre concept, celui de </w:t>
      </w:r>
      <w:r>
        <w:rPr>
          <w:i/>
          <w:iCs/>
          <w:szCs w:val="32"/>
        </w:rPr>
        <w:t>rapport soci</w:t>
      </w:r>
      <w:r w:rsidRPr="003A30B6">
        <w:rPr>
          <w:i/>
          <w:iCs/>
          <w:szCs w:val="32"/>
        </w:rPr>
        <w:t>a</w:t>
      </w:r>
      <w:r>
        <w:rPr>
          <w:i/>
          <w:iCs/>
          <w:szCs w:val="32"/>
        </w:rPr>
        <w:t>l</w:t>
      </w:r>
      <w:r w:rsidRPr="003A30B6">
        <w:rPr>
          <w:i/>
          <w:iCs/>
          <w:szCs w:val="32"/>
        </w:rPr>
        <w:t xml:space="preserve"> </w:t>
      </w:r>
      <w:r w:rsidRPr="003A30B6">
        <w:rPr>
          <w:szCs w:val="32"/>
        </w:rPr>
        <w:t>qui met l'accent sur les relations entre des groupes sociaux. Il est remarquable, en effet, que ce dernier concept ait à peu près totalement disparu du vocabulaire des sciences sociales et politiques depuis une vingtaine d'années.</w:t>
      </w:r>
    </w:p>
    <w:p w:rsidR="003F0EA0" w:rsidRPr="003A30B6" w:rsidRDefault="003F0EA0" w:rsidP="003F0EA0">
      <w:pPr>
        <w:spacing w:before="120" w:after="120"/>
        <w:jc w:val="both"/>
      </w:pPr>
      <w:r w:rsidRPr="003A30B6">
        <w:rPr>
          <w:szCs w:val="32"/>
        </w:rPr>
        <w:t>Or, s'ils peuvent sembler voisins voire synonymes, les deux concepts n'ont pas la même pertinence théorique et ép</w:t>
      </w:r>
      <w:r>
        <w:rPr>
          <w:szCs w:val="32"/>
        </w:rPr>
        <w:t>i</w:t>
      </w:r>
      <w:r w:rsidRPr="003A30B6">
        <w:rPr>
          <w:szCs w:val="32"/>
        </w:rPr>
        <w:t>sté</w:t>
      </w:r>
      <w:r>
        <w:rPr>
          <w:szCs w:val="32"/>
        </w:rPr>
        <w:t>mologi</w:t>
      </w:r>
      <w:r w:rsidRPr="003A30B6">
        <w:rPr>
          <w:szCs w:val="32"/>
        </w:rPr>
        <w:t>que. La notion de rapport social indique d'emblée que le monde social est un mixte d'Identités et de différences, d'unité et de divisions, de coh</w:t>
      </w:r>
      <w:r w:rsidRPr="003A30B6">
        <w:rPr>
          <w:szCs w:val="32"/>
        </w:rPr>
        <w:t>é</w:t>
      </w:r>
      <w:r w:rsidRPr="003A30B6">
        <w:rPr>
          <w:szCs w:val="32"/>
        </w:rPr>
        <w:t>sion et de conflits : Il met l'accent tout aussi bien sur ce qui réunit les hommes vivant en</w:t>
      </w:r>
      <w:r>
        <w:rPr>
          <w:szCs w:val="32"/>
        </w:rPr>
        <w:t xml:space="preserve"> </w:t>
      </w:r>
      <w:r w:rsidRPr="003A30B6">
        <w:rPr>
          <w:szCs w:val="32"/>
        </w:rPr>
        <w:t>société, que sur ce qui les divise, les</w:t>
      </w:r>
      <w:r>
        <w:rPr>
          <w:szCs w:val="32"/>
        </w:rPr>
        <w:t xml:space="preserve"> </w:t>
      </w:r>
      <w:r w:rsidRPr="003A30B6">
        <w:rPr>
          <w:szCs w:val="32"/>
        </w:rPr>
        <w:t xml:space="preserve">oppose, les déchire : </w:t>
      </w:r>
      <w:r>
        <w:rPr>
          <w:szCs w:val="32"/>
        </w:rPr>
        <w:t>il</w:t>
      </w:r>
      <w:r w:rsidRPr="003A30B6">
        <w:rPr>
          <w:szCs w:val="32"/>
        </w:rPr>
        <w:t xml:space="preserve"> permet de penser</w:t>
      </w:r>
      <w:r>
        <w:rPr>
          <w:szCs w:val="32"/>
        </w:rPr>
        <w:t xml:space="preserve"> </w:t>
      </w:r>
      <w:r w:rsidRPr="003A30B6">
        <w:rPr>
          <w:szCs w:val="32"/>
        </w:rPr>
        <w:t>la société comme étant à la fois unité et</w:t>
      </w:r>
      <w:r>
        <w:rPr>
          <w:szCs w:val="32"/>
        </w:rPr>
        <w:t xml:space="preserve"> lutte, </w:t>
      </w:r>
      <w:r w:rsidRPr="003A30B6">
        <w:rPr>
          <w:szCs w:val="32"/>
        </w:rPr>
        <w:t>dialectiqu</w:t>
      </w:r>
      <w:r w:rsidRPr="003A30B6">
        <w:rPr>
          <w:szCs w:val="32"/>
        </w:rPr>
        <w:t>e</w:t>
      </w:r>
      <w:r w:rsidRPr="003A30B6">
        <w:rPr>
          <w:szCs w:val="32"/>
        </w:rPr>
        <w:t>ment</w:t>
      </w:r>
      <w:r>
        <w:rPr>
          <w:szCs w:val="32"/>
        </w:rPr>
        <w:t xml:space="preserve"> : </w:t>
      </w:r>
      <w:r w:rsidRPr="003A30B6">
        <w:rPr>
          <w:szCs w:val="32"/>
        </w:rPr>
        <w:t>unité</w:t>
      </w:r>
      <w:r>
        <w:rPr>
          <w:szCs w:val="32"/>
        </w:rPr>
        <w:t xml:space="preserve"> </w:t>
      </w:r>
      <w:r w:rsidRPr="003A30B6">
        <w:rPr>
          <w:szCs w:val="32"/>
        </w:rPr>
        <w:t>dans/par/contre la lutte et lutte dans/par/contre l'unité. Alors que la notion de lien social met unilat</w:t>
      </w:r>
      <w:r w:rsidRPr="003A30B6">
        <w:rPr>
          <w:szCs w:val="32"/>
        </w:rPr>
        <w:t>é</w:t>
      </w:r>
      <w:r w:rsidRPr="003A30B6">
        <w:rPr>
          <w:szCs w:val="32"/>
        </w:rPr>
        <w:t>ralement l'accent sur ce qui lie et réunit les hommes entre eux, au d</w:t>
      </w:r>
      <w:r w:rsidRPr="003A30B6">
        <w:rPr>
          <w:szCs w:val="32"/>
        </w:rPr>
        <w:t>é</w:t>
      </w:r>
      <w:r w:rsidRPr="003A30B6">
        <w:rPr>
          <w:szCs w:val="32"/>
        </w:rPr>
        <w:t>triment de ce qui les div</w:t>
      </w:r>
      <w:r w:rsidRPr="003A30B6">
        <w:rPr>
          <w:szCs w:val="32"/>
        </w:rPr>
        <w:t>i</w:t>
      </w:r>
      <w:r w:rsidRPr="003A30B6">
        <w:rPr>
          <w:szCs w:val="32"/>
        </w:rPr>
        <w:t>se et les oppose dans leur unité même.</w:t>
      </w:r>
    </w:p>
    <w:p w:rsidR="003F0EA0" w:rsidRPr="003A30B6" w:rsidRDefault="003F0EA0" w:rsidP="003F0EA0">
      <w:pPr>
        <w:spacing w:before="120" w:after="120"/>
        <w:jc w:val="both"/>
      </w:pPr>
      <w:r w:rsidRPr="003A30B6">
        <w:rPr>
          <w:szCs w:val="32"/>
        </w:rPr>
        <w:t xml:space="preserve">Ce que confirment au demeurant les traditions différentes et rivales qui ont élaboré ces deux concepts. Celui de rapport social est Issu de l'œuvre de Karl Marx. Avec celui de production, avec lequel </w:t>
      </w:r>
      <w:r>
        <w:rPr>
          <w:szCs w:val="32"/>
        </w:rPr>
        <w:t>il</w:t>
      </w:r>
      <w:r w:rsidRPr="003A30B6">
        <w:rPr>
          <w:szCs w:val="32"/>
        </w:rPr>
        <w:t xml:space="preserve"> se combine régulièrement (cf. les concepts de rapports sociaux de pr</w:t>
      </w:r>
      <w:r w:rsidRPr="003A30B6">
        <w:rPr>
          <w:szCs w:val="32"/>
        </w:rPr>
        <w:t>o</w:t>
      </w:r>
      <w:r w:rsidRPr="003A30B6">
        <w:rPr>
          <w:szCs w:val="32"/>
        </w:rPr>
        <w:t>duction, de production des rapports sociaux, etc.), le concept de ra</w:t>
      </w:r>
      <w:r w:rsidRPr="003A30B6">
        <w:rPr>
          <w:szCs w:val="32"/>
        </w:rPr>
        <w:t>p</w:t>
      </w:r>
      <w:r w:rsidRPr="003A30B6">
        <w:rPr>
          <w:szCs w:val="32"/>
        </w:rPr>
        <w:t xml:space="preserve">port social fait partie du socle théorique et épistémologique de la compréhension du social Inaugurée par l'auteur du </w:t>
      </w:r>
      <w:r w:rsidRPr="003A30B6">
        <w:rPr>
          <w:i/>
          <w:iCs/>
          <w:szCs w:val="32"/>
        </w:rPr>
        <w:t xml:space="preserve">Capital. </w:t>
      </w:r>
      <w:r>
        <w:rPr>
          <w:szCs w:val="32"/>
        </w:rPr>
        <w:t>Dès ses thèses sur Feuerbach,</w:t>
      </w:r>
      <w:r w:rsidRPr="003A30B6">
        <w:rPr>
          <w:szCs w:val="32"/>
        </w:rPr>
        <w:t xml:space="preserve"> manifeste théorique de la conception matériali</w:t>
      </w:r>
      <w:r w:rsidRPr="003A30B6">
        <w:rPr>
          <w:szCs w:val="32"/>
        </w:rPr>
        <w:t>s</w:t>
      </w:r>
      <w:r w:rsidRPr="003A30B6">
        <w:rPr>
          <w:szCs w:val="32"/>
        </w:rPr>
        <w:t>te de la société et de l'histoire, Karl Marx n'a cessé sous différentes formes de répéter que l'essence hum</w:t>
      </w:r>
      <w:r>
        <w:rPr>
          <w:szCs w:val="32"/>
        </w:rPr>
        <w:t>aine n'est pas une abstraction i</w:t>
      </w:r>
      <w:r w:rsidRPr="003A30B6">
        <w:rPr>
          <w:szCs w:val="32"/>
        </w:rPr>
        <w:t>n</w:t>
      </w:r>
      <w:r w:rsidRPr="003A30B6">
        <w:rPr>
          <w:szCs w:val="32"/>
        </w:rPr>
        <w:t>hérente à l'Individu Isolé. Dans sa réalité, elle est l'ensemble des ra</w:t>
      </w:r>
      <w:r w:rsidRPr="003A30B6">
        <w:rPr>
          <w:szCs w:val="32"/>
        </w:rPr>
        <w:t>p</w:t>
      </w:r>
      <w:r w:rsidRPr="003A30B6">
        <w:rPr>
          <w:szCs w:val="32"/>
        </w:rPr>
        <w:t xml:space="preserve">ports sociaux ». Et toute son œuvre est une analyse constante de ces rapports, de leur processus de production et de reproduction. En ce sens, ce n'est pas un hasard qu'il ait donné pour titre à son ouvrage majeur. </w:t>
      </w:r>
      <w:r w:rsidRPr="003A30B6">
        <w:rPr>
          <w:i/>
          <w:iCs/>
          <w:szCs w:val="32"/>
        </w:rPr>
        <w:t xml:space="preserve">Le Capital, </w:t>
      </w:r>
      <w:r w:rsidRPr="003A30B6">
        <w:rPr>
          <w:szCs w:val="32"/>
        </w:rPr>
        <w:t>le concept d'un rapport social, qui plus est, du rapport qu'il considère comme prédominant au sein des sociétés cap</w:t>
      </w:r>
      <w:r w:rsidRPr="003A30B6">
        <w:rPr>
          <w:szCs w:val="32"/>
        </w:rPr>
        <w:t>i</w:t>
      </w:r>
      <w:r w:rsidRPr="003A30B6">
        <w:rPr>
          <w:szCs w:val="32"/>
        </w:rPr>
        <w:t>talistes contemporaines.</w:t>
      </w:r>
    </w:p>
    <w:p w:rsidR="003F0EA0" w:rsidRPr="003A30B6" w:rsidRDefault="003F0EA0" w:rsidP="003F0EA0">
      <w:pPr>
        <w:spacing w:before="120" w:after="120"/>
        <w:jc w:val="both"/>
      </w:pPr>
      <w:r w:rsidRPr="003A30B6">
        <w:rPr>
          <w:szCs w:val="32"/>
        </w:rPr>
        <w:t xml:space="preserve">La notion de lien social, au contraire. a été élaborée en opposition au marxisme, par différents auteurs et traditions sociologiques. On pense évidemment au sociologue allemand Ferdinand Tönnies et à son paradigme de la </w:t>
      </w:r>
      <w:r w:rsidRPr="003A30B6">
        <w:rPr>
          <w:i/>
          <w:iCs/>
          <w:szCs w:val="32"/>
        </w:rPr>
        <w:t>G</w:t>
      </w:r>
      <w:r>
        <w:rPr>
          <w:i/>
          <w:iCs/>
          <w:szCs w:val="32"/>
        </w:rPr>
        <w:t>e</w:t>
      </w:r>
      <w:r w:rsidRPr="003A30B6">
        <w:rPr>
          <w:i/>
          <w:iCs/>
          <w:szCs w:val="32"/>
        </w:rPr>
        <w:t>me</w:t>
      </w:r>
      <w:r>
        <w:rPr>
          <w:i/>
          <w:iCs/>
          <w:szCs w:val="32"/>
        </w:rPr>
        <w:t>i</w:t>
      </w:r>
      <w:r w:rsidRPr="003A30B6">
        <w:rPr>
          <w:i/>
          <w:iCs/>
          <w:szCs w:val="32"/>
        </w:rPr>
        <w:t xml:space="preserve">nschaft </w:t>
      </w:r>
      <w:r w:rsidRPr="003A30B6">
        <w:rPr>
          <w:szCs w:val="32"/>
        </w:rPr>
        <w:t xml:space="preserve">et de la </w:t>
      </w:r>
      <w:r w:rsidRPr="003A30B6">
        <w:rPr>
          <w:i/>
          <w:iCs/>
          <w:szCs w:val="32"/>
        </w:rPr>
        <w:t xml:space="preserve">Gesellschaft. </w:t>
      </w:r>
      <w:r w:rsidRPr="003A30B6">
        <w:rPr>
          <w:szCs w:val="32"/>
        </w:rPr>
        <w:t>la première ce</w:t>
      </w:r>
      <w:r w:rsidRPr="003A30B6">
        <w:rPr>
          <w:szCs w:val="32"/>
        </w:rPr>
        <w:t>n</w:t>
      </w:r>
      <w:r w:rsidRPr="003A30B6">
        <w:rPr>
          <w:szCs w:val="32"/>
        </w:rPr>
        <w:t>sée caractérisée par des liens sociaux communautaires puissants, ta</w:t>
      </w:r>
      <w:r w:rsidRPr="003A30B6">
        <w:rPr>
          <w:szCs w:val="32"/>
        </w:rPr>
        <w:t>n</w:t>
      </w:r>
      <w:r w:rsidRPr="003A30B6">
        <w:rPr>
          <w:szCs w:val="32"/>
        </w:rPr>
        <w:t>dis que la seconde se caractériserait par des liens sociétaires relâchés laissant place à l'affirmation d'un Individualisme dissolvant ou appa</w:t>
      </w:r>
      <w:r w:rsidRPr="003A30B6">
        <w:rPr>
          <w:szCs w:val="32"/>
        </w:rPr>
        <w:t>u</w:t>
      </w:r>
      <w:r w:rsidRPr="003A30B6">
        <w:rPr>
          <w:szCs w:val="32"/>
        </w:rPr>
        <w:t>vrissant le lien social.</w:t>
      </w:r>
    </w:p>
    <w:p w:rsidR="003F0EA0" w:rsidRPr="003A30B6" w:rsidRDefault="003F0EA0" w:rsidP="003F0EA0">
      <w:pPr>
        <w:spacing w:before="120" w:after="120"/>
        <w:jc w:val="both"/>
      </w:pPr>
      <w:r w:rsidRPr="003A30B6">
        <w:rPr>
          <w:szCs w:val="32"/>
        </w:rPr>
        <w:t>Mais cette notion ne relève pas seulemen</w:t>
      </w:r>
      <w:r>
        <w:rPr>
          <w:szCs w:val="32"/>
        </w:rPr>
        <w:t>t d'une conception co</w:t>
      </w:r>
      <w:r>
        <w:rPr>
          <w:szCs w:val="32"/>
        </w:rPr>
        <w:t>m</w:t>
      </w:r>
      <w:r>
        <w:rPr>
          <w:szCs w:val="32"/>
        </w:rPr>
        <w:t>munautari</w:t>
      </w:r>
      <w:r w:rsidRPr="003A30B6">
        <w:rPr>
          <w:szCs w:val="32"/>
        </w:rPr>
        <w:t>ste de la société. Elle a aussi, et sans doute plus fondame</w:t>
      </w:r>
      <w:r w:rsidRPr="003A30B6">
        <w:rPr>
          <w:szCs w:val="32"/>
        </w:rPr>
        <w:t>n</w:t>
      </w:r>
      <w:r w:rsidRPr="003A30B6">
        <w:rPr>
          <w:szCs w:val="32"/>
        </w:rPr>
        <w:t xml:space="preserve">talement, partie liée </w:t>
      </w:r>
      <w:r>
        <w:rPr>
          <w:szCs w:val="32"/>
        </w:rPr>
        <w:t>à</w:t>
      </w:r>
      <w:r w:rsidRPr="003A30B6">
        <w:rPr>
          <w:szCs w:val="32"/>
        </w:rPr>
        <w:t xml:space="preserve"> une conception </w:t>
      </w:r>
      <w:r w:rsidRPr="003A30B6">
        <w:rPr>
          <w:i/>
          <w:iCs/>
          <w:szCs w:val="32"/>
        </w:rPr>
        <w:t xml:space="preserve">organiciste </w:t>
      </w:r>
      <w:r w:rsidRPr="003A30B6">
        <w:rPr>
          <w:szCs w:val="32"/>
        </w:rPr>
        <w:t>de la société, rep</w:t>
      </w:r>
      <w:r w:rsidRPr="003A30B6">
        <w:rPr>
          <w:szCs w:val="32"/>
        </w:rPr>
        <w:t>o</w:t>
      </w:r>
      <w:r w:rsidRPr="003A30B6">
        <w:rPr>
          <w:szCs w:val="32"/>
        </w:rPr>
        <w:t>sant sur la métaphore du</w:t>
      </w:r>
      <w:r>
        <w:rPr>
          <w:szCs w:val="32"/>
        </w:rPr>
        <w:t xml:space="preserve"> </w:t>
      </w:r>
      <w:r>
        <w:t xml:space="preserve">[127] </w:t>
      </w:r>
      <w:r w:rsidRPr="003A30B6">
        <w:rPr>
          <w:i/>
          <w:iCs/>
          <w:szCs w:val="32"/>
        </w:rPr>
        <w:t>corps</w:t>
      </w:r>
      <w:r>
        <w:rPr>
          <w:i/>
          <w:iCs/>
          <w:szCs w:val="32"/>
        </w:rPr>
        <w:t xml:space="preserve"> soci</w:t>
      </w:r>
      <w:r w:rsidRPr="003A30B6">
        <w:rPr>
          <w:i/>
          <w:iCs/>
          <w:szCs w:val="32"/>
        </w:rPr>
        <w:t>al :</w:t>
      </w:r>
      <w:r>
        <w:rPr>
          <w:szCs w:val="32"/>
        </w:rPr>
        <w:t xml:space="preserve"> sur la comparaison voire sur l’</w:t>
      </w:r>
      <w:r w:rsidRPr="003A30B6">
        <w:rPr>
          <w:szCs w:val="32"/>
        </w:rPr>
        <w:t>identification (sinon ontologique, du moins épistémologique) de la société avec l'organi</w:t>
      </w:r>
      <w:r w:rsidRPr="003A30B6">
        <w:rPr>
          <w:szCs w:val="32"/>
        </w:rPr>
        <w:t>s</w:t>
      </w:r>
      <w:r w:rsidRPr="003A30B6">
        <w:rPr>
          <w:szCs w:val="32"/>
        </w:rPr>
        <w:t>me vivant. C'est essentiellement dans cette perspective qu'une certaine pensée sociologique en est venue à priv</w:t>
      </w:r>
      <w:r w:rsidRPr="003A30B6">
        <w:rPr>
          <w:szCs w:val="32"/>
        </w:rPr>
        <w:t>i</w:t>
      </w:r>
      <w:r w:rsidRPr="003A30B6">
        <w:rPr>
          <w:szCs w:val="32"/>
        </w:rPr>
        <w:t>légier voire à fétichiser la cohésion du tout social et, partant, l'intégr</w:t>
      </w:r>
      <w:r w:rsidRPr="003A30B6">
        <w:rPr>
          <w:szCs w:val="32"/>
        </w:rPr>
        <w:t>a</w:t>
      </w:r>
      <w:r w:rsidRPr="003A30B6">
        <w:rPr>
          <w:szCs w:val="32"/>
        </w:rPr>
        <w:t>tion voire la subordination hiérarchique des parties (Individus, gro</w:t>
      </w:r>
      <w:r w:rsidRPr="003A30B6">
        <w:rPr>
          <w:szCs w:val="32"/>
        </w:rPr>
        <w:t>u</w:t>
      </w:r>
      <w:r w:rsidRPr="003A30B6">
        <w:rPr>
          <w:szCs w:val="32"/>
        </w:rPr>
        <w:t>pements partiels) à ce même tout, que l'on retrouve au cœur des n</w:t>
      </w:r>
      <w:r w:rsidRPr="003A30B6">
        <w:rPr>
          <w:szCs w:val="32"/>
        </w:rPr>
        <w:t>o</w:t>
      </w:r>
      <w:r w:rsidRPr="003A30B6">
        <w:rPr>
          <w:szCs w:val="32"/>
        </w:rPr>
        <w:t>tions de lien social et d'excl</w:t>
      </w:r>
      <w:r w:rsidRPr="003A30B6">
        <w:rPr>
          <w:szCs w:val="32"/>
        </w:rPr>
        <w:t>u</w:t>
      </w:r>
      <w:r w:rsidRPr="003A30B6">
        <w:rPr>
          <w:szCs w:val="32"/>
        </w:rPr>
        <w:t>sion.</w:t>
      </w:r>
    </w:p>
    <w:p w:rsidR="003F0EA0" w:rsidRPr="003A30B6" w:rsidRDefault="003F0EA0" w:rsidP="003F0EA0">
      <w:pPr>
        <w:spacing w:before="120" w:after="120"/>
        <w:jc w:val="both"/>
      </w:pPr>
      <w:r>
        <w:rPr>
          <w:szCs w:val="32"/>
        </w:rPr>
        <w:t>Historiquement,</w:t>
      </w:r>
      <w:r w:rsidRPr="003A30B6">
        <w:rPr>
          <w:szCs w:val="32"/>
        </w:rPr>
        <w:t xml:space="preserve"> l'organicisme est attaché au nom d'Herbert Spe</w:t>
      </w:r>
      <w:r w:rsidRPr="003A30B6">
        <w:rPr>
          <w:szCs w:val="32"/>
        </w:rPr>
        <w:t>n</w:t>
      </w:r>
      <w:r w:rsidRPr="003A30B6">
        <w:rPr>
          <w:szCs w:val="32"/>
        </w:rPr>
        <w:t>cer, fondateur de la sociologie anglo-saxonne. Fortement tributaire du darwinisme social, dont il fut l'un des promoteurs, l'organicisme spe</w:t>
      </w:r>
      <w:r w:rsidRPr="003A30B6">
        <w:rPr>
          <w:szCs w:val="32"/>
        </w:rPr>
        <w:t>n</w:t>
      </w:r>
      <w:r w:rsidRPr="003A30B6">
        <w:rPr>
          <w:szCs w:val="32"/>
        </w:rPr>
        <w:t>cérien fournit l'archétype d'un modèle de compréhension du social qui privilégie tout à la fois l'harmonie du tout, la subordination des parties au tout (ce qui permet de justifier au passage la hiérarchie et les Inég</w:t>
      </w:r>
      <w:r w:rsidRPr="003A30B6">
        <w:rPr>
          <w:szCs w:val="32"/>
        </w:rPr>
        <w:t>a</w:t>
      </w:r>
      <w:r w:rsidRPr="003A30B6">
        <w:rPr>
          <w:szCs w:val="32"/>
        </w:rPr>
        <w:t>lités sociales) et enfin la lutte concurrentielle entre les Individus ass</w:t>
      </w:r>
      <w:r w:rsidRPr="003A30B6">
        <w:rPr>
          <w:szCs w:val="32"/>
        </w:rPr>
        <w:t>u</w:t>
      </w:r>
      <w:r w:rsidRPr="003A30B6">
        <w:rPr>
          <w:szCs w:val="32"/>
        </w:rPr>
        <w:t>rant la promotion des meilleurs et le renouvellement des élites. La conflictualité sociale est reconnue et reconnaissable dans le seul cadre concurrentiel. La division de la société en classes et la lutte des cla</w:t>
      </w:r>
      <w:r w:rsidRPr="003A30B6">
        <w:rPr>
          <w:szCs w:val="32"/>
        </w:rPr>
        <w:t>s</w:t>
      </w:r>
      <w:r w:rsidRPr="003A30B6">
        <w:rPr>
          <w:szCs w:val="32"/>
        </w:rPr>
        <w:t>ses n'y ont aucune place. Cette vision du monde est en définitive pa</w:t>
      </w:r>
      <w:r w:rsidRPr="003A30B6">
        <w:rPr>
          <w:szCs w:val="32"/>
        </w:rPr>
        <w:t>r</w:t>
      </w:r>
      <w:r w:rsidRPr="003A30B6">
        <w:rPr>
          <w:szCs w:val="32"/>
        </w:rPr>
        <w:t>faitement accordée à celle de la bourgeoisie (notamment anglaise) de son temps ainsi qu'à ses Intérêts de classe dominante.</w:t>
      </w:r>
    </w:p>
    <w:p w:rsidR="003F0EA0" w:rsidRPr="003A30B6" w:rsidRDefault="003F0EA0" w:rsidP="003F0EA0">
      <w:pPr>
        <w:spacing w:before="120" w:after="120"/>
        <w:jc w:val="both"/>
      </w:pPr>
      <w:r w:rsidRPr="003A30B6">
        <w:rPr>
          <w:szCs w:val="32"/>
        </w:rPr>
        <w:t xml:space="preserve">On sait ce que le Durkheim de </w:t>
      </w:r>
      <w:r w:rsidRPr="003A30B6">
        <w:rPr>
          <w:i/>
          <w:iCs/>
          <w:szCs w:val="32"/>
        </w:rPr>
        <w:t xml:space="preserve">La division du travail social </w:t>
      </w:r>
      <w:r w:rsidRPr="003A30B6">
        <w:rPr>
          <w:szCs w:val="32"/>
        </w:rPr>
        <w:t>doit en définitive à cet organicisme</w:t>
      </w:r>
      <w:r>
        <w:rPr>
          <w:szCs w:val="32"/>
        </w:rPr>
        <w:t>,</w:t>
      </w:r>
      <w:r w:rsidRPr="003A30B6">
        <w:rPr>
          <w:szCs w:val="32"/>
        </w:rPr>
        <w:t xml:space="preserve"> en dépit des critiques fortes qu'il lui a adressées. Qu'il s'agisse de la croyance en une évolution des sociétés humaines, sur le mode de l'évolution biologique, des structures él</w:t>
      </w:r>
      <w:r w:rsidRPr="003A30B6">
        <w:rPr>
          <w:szCs w:val="32"/>
        </w:rPr>
        <w:t>é</w:t>
      </w:r>
      <w:r w:rsidRPr="003A30B6">
        <w:rPr>
          <w:szCs w:val="32"/>
        </w:rPr>
        <w:t>mentaires des « sociétés inférieures » segmentaires, dans lesquelles la cohésion repose sur l'identité du semblable, vers les structures co</w:t>
      </w:r>
      <w:r w:rsidRPr="003A30B6">
        <w:rPr>
          <w:szCs w:val="32"/>
        </w:rPr>
        <w:t>m</w:t>
      </w:r>
      <w:r w:rsidRPr="003A30B6">
        <w:rPr>
          <w:szCs w:val="32"/>
        </w:rPr>
        <w:t>plexes des « sociétés supérieures », dans lesquelles la cohésion est assurée par la complémentarité Instituée entre les différents agents et activités par la division du travail social : ou qu'il s'agisse, plus fo</w:t>
      </w:r>
      <w:r w:rsidRPr="003A30B6">
        <w:rPr>
          <w:szCs w:val="32"/>
        </w:rPr>
        <w:t>n</w:t>
      </w:r>
      <w:r w:rsidRPr="003A30B6">
        <w:rPr>
          <w:szCs w:val="32"/>
        </w:rPr>
        <w:t>damentalement, de la pr</w:t>
      </w:r>
      <w:r>
        <w:rPr>
          <w:szCs w:val="32"/>
        </w:rPr>
        <w:t>évalence dans la pensée durkheimi</w:t>
      </w:r>
      <w:r w:rsidRPr="003A30B6">
        <w:rPr>
          <w:szCs w:val="32"/>
        </w:rPr>
        <w:t xml:space="preserve">enne du thème de la </w:t>
      </w:r>
      <w:r w:rsidRPr="003A30B6">
        <w:rPr>
          <w:i/>
          <w:iCs/>
          <w:szCs w:val="32"/>
        </w:rPr>
        <w:t xml:space="preserve">solidarité, </w:t>
      </w:r>
      <w:r w:rsidRPr="003A30B6">
        <w:rPr>
          <w:szCs w:val="32"/>
        </w:rPr>
        <w:t>véritable fil conducteur, à l'en croire, de l'hi</w:t>
      </w:r>
      <w:r w:rsidRPr="003A30B6">
        <w:rPr>
          <w:szCs w:val="32"/>
        </w:rPr>
        <w:t>s</w:t>
      </w:r>
      <w:r w:rsidRPr="003A30B6">
        <w:rPr>
          <w:szCs w:val="32"/>
        </w:rPr>
        <w:t>toire des sociétés humaines. Sous la forme de la solidarité organique, ce qu'</w:t>
      </w:r>
      <w:r>
        <w:rPr>
          <w:szCs w:val="32"/>
        </w:rPr>
        <w:t xml:space="preserve">Emile Durkheim pense et propose, </w:t>
      </w:r>
      <w:r w:rsidRPr="003A30B6">
        <w:rPr>
          <w:szCs w:val="32"/>
        </w:rPr>
        <w:t>c'est une fois de plus une v</w:t>
      </w:r>
      <w:r w:rsidRPr="003A30B6">
        <w:rPr>
          <w:szCs w:val="32"/>
        </w:rPr>
        <w:t>i</w:t>
      </w:r>
      <w:r w:rsidRPr="003A30B6">
        <w:rPr>
          <w:szCs w:val="32"/>
        </w:rPr>
        <w:t>sion harmonique de la société capitali</w:t>
      </w:r>
      <w:r w:rsidRPr="003A30B6">
        <w:rPr>
          <w:szCs w:val="32"/>
        </w:rPr>
        <w:t>s</w:t>
      </w:r>
      <w:r w:rsidRPr="003A30B6">
        <w:rPr>
          <w:szCs w:val="32"/>
        </w:rPr>
        <w:t>te, dans laquelle, conformément aux principes du libéralisme, les Int</w:t>
      </w:r>
      <w:r w:rsidRPr="003A30B6">
        <w:rPr>
          <w:szCs w:val="32"/>
        </w:rPr>
        <w:t>é</w:t>
      </w:r>
      <w:r w:rsidRPr="003A30B6">
        <w:rPr>
          <w:szCs w:val="32"/>
        </w:rPr>
        <w:t>rêts particuliers des Individus et des groupes, tels qu'Us sont déterm</w:t>
      </w:r>
      <w:r w:rsidRPr="003A30B6">
        <w:rPr>
          <w:szCs w:val="32"/>
        </w:rPr>
        <w:t>i</w:t>
      </w:r>
      <w:r w:rsidRPr="003A30B6">
        <w:rPr>
          <w:szCs w:val="32"/>
        </w:rPr>
        <w:t>nés par la division du travail, viennent se conjuguer pour constituer et assurer l'Intérêt général du tout social.</w:t>
      </w:r>
    </w:p>
    <w:p w:rsidR="003F0EA0" w:rsidRPr="003A30B6" w:rsidRDefault="003F0EA0" w:rsidP="003F0EA0">
      <w:pPr>
        <w:spacing w:before="120" w:after="120"/>
        <w:jc w:val="both"/>
      </w:pPr>
      <w:r w:rsidRPr="003A30B6">
        <w:rPr>
          <w:szCs w:val="32"/>
        </w:rPr>
        <w:t>La résultante générale de cette vision llbérale-organ</w:t>
      </w:r>
      <w:r>
        <w:rPr>
          <w:szCs w:val="32"/>
        </w:rPr>
        <w:t>i</w:t>
      </w:r>
      <w:r w:rsidRPr="003A30B6">
        <w:rPr>
          <w:szCs w:val="32"/>
        </w:rPr>
        <w:t>c</w:t>
      </w:r>
      <w:r>
        <w:rPr>
          <w:szCs w:val="32"/>
        </w:rPr>
        <w:t>i</w:t>
      </w:r>
      <w:r w:rsidRPr="003A30B6">
        <w:rPr>
          <w:szCs w:val="32"/>
        </w:rPr>
        <w:t>ste du mo</w:t>
      </w:r>
      <w:r w:rsidRPr="003A30B6">
        <w:rPr>
          <w:szCs w:val="32"/>
        </w:rPr>
        <w:t>n</w:t>
      </w:r>
      <w:r w:rsidRPr="003A30B6">
        <w:rPr>
          <w:szCs w:val="32"/>
        </w:rPr>
        <w:t>de social, qui fournit le plus souvent Inconsciemment son paradigme aux notions de lien social et d'exclusion, est l'éviction ou du moins la réduction du conflit social. Si les conflits interindividuels sous la fo</w:t>
      </w:r>
      <w:r w:rsidRPr="003A30B6">
        <w:rPr>
          <w:szCs w:val="32"/>
        </w:rPr>
        <w:t>r</w:t>
      </w:r>
      <w:r w:rsidRPr="003A30B6">
        <w:rPr>
          <w:szCs w:val="32"/>
        </w:rPr>
        <w:t>me de la concurrence sont reconnus et acceptés, ceux entre individu et société et plus encore les conflits de classe sont tenus pour des man</w:t>
      </w:r>
      <w:r w:rsidRPr="003A30B6">
        <w:rPr>
          <w:szCs w:val="32"/>
        </w:rPr>
        <w:t>i</w:t>
      </w:r>
      <w:r w:rsidRPr="003A30B6">
        <w:rPr>
          <w:szCs w:val="32"/>
        </w:rPr>
        <w:t>festations aberrantes, symptômes de l'anom</w:t>
      </w:r>
      <w:r>
        <w:rPr>
          <w:szCs w:val="32"/>
        </w:rPr>
        <w:t>i</w:t>
      </w:r>
      <w:r w:rsidRPr="003A30B6">
        <w:rPr>
          <w:szCs w:val="32"/>
        </w:rPr>
        <w:t>e sociale, concept qu'Em</w:t>
      </w:r>
      <w:r w:rsidRPr="003A30B6">
        <w:rPr>
          <w:szCs w:val="32"/>
        </w:rPr>
        <w:t>i</w:t>
      </w:r>
      <w:r w:rsidRPr="003A30B6">
        <w:rPr>
          <w:szCs w:val="32"/>
        </w:rPr>
        <w:t>le Durkheim a spécialement formé pour rendre compte de ce type d'a</w:t>
      </w:r>
      <w:r w:rsidRPr="003A30B6">
        <w:rPr>
          <w:szCs w:val="32"/>
        </w:rPr>
        <w:t>f</w:t>
      </w:r>
      <w:r w:rsidRPr="003A30B6">
        <w:rPr>
          <w:szCs w:val="32"/>
        </w:rPr>
        <w:t>frontements, tout en les dévalorisant.</w:t>
      </w:r>
    </w:p>
    <w:p w:rsidR="003F0EA0" w:rsidRDefault="003F0EA0" w:rsidP="003F0EA0">
      <w:pPr>
        <w:spacing w:before="120" w:after="120"/>
        <w:jc w:val="both"/>
        <w:rPr>
          <w:szCs w:val="32"/>
        </w:rPr>
      </w:pPr>
    </w:p>
    <w:p w:rsidR="003F0EA0" w:rsidRPr="003A30B6" w:rsidRDefault="003F0EA0" w:rsidP="003F0EA0">
      <w:pPr>
        <w:pStyle w:val="a"/>
      </w:pPr>
      <w:bookmarkStart w:id="8" w:name="Exclusion_II_2"/>
      <w:r w:rsidRPr="003A30B6">
        <w:t xml:space="preserve">2. La dénégation de l'idée de </w:t>
      </w:r>
      <w:r w:rsidRPr="003A30B6">
        <w:rPr>
          <w:szCs w:val="28"/>
        </w:rPr>
        <w:t>conflit</w:t>
      </w:r>
    </w:p>
    <w:bookmarkEnd w:id="8"/>
    <w:p w:rsidR="003F0EA0" w:rsidRDefault="003F0EA0" w:rsidP="003F0EA0">
      <w:pPr>
        <w:spacing w:before="120" w:after="120"/>
        <w:jc w:val="both"/>
        <w:rPr>
          <w:szCs w:val="32"/>
        </w:rPr>
      </w:pPr>
    </w:p>
    <w:p w:rsidR="003F0EA0" w:rsidRPr="00384B20" w:rsidRDefault="003F0EA0" w:rsidP="003F0EA0">
      <w:pPr>
        <w:ind w:right="90" w:firstLine="0"/>
        <w:jc w:val="both"/>
        <w:rPr>
          <w:sz w:val="20"/>
        </w:rPr>
      </w:pPr>
      <w:hyperlink w:anchor="tdm" w:history="1">
        <w:r w:rsidRPr="00384B20">
          <w:rPr>
            <w:rStyle w:val="Lienhypertexte"/>
            <w:sz w:val="20"/>
          </w:rPr>
          <w:t>Retour à la table des matières</w:t>
        </w:r>
      </w:hyperlink>
    </w:p>
    <w:p w:rsidR="003F0EA0" w:rsidRPr="003A30B6" w:rsidRDefault="003F0EA0" w:rsidP="003F0EA0">
      <w:pPr>
        <w:spacing w:before="120" w:after="120"/>
        <w:jc w:val="both"/>
      </w:pPr>
      <w:r w:rsidRPr="003A30B6">
        <w:rPr>
          <w:szCs w:val="32"/>
        </w:rPr>
        <w:t>Ainsi, qu'on s'en tienne aux discours qui, au cours des deux derni</w:t>
      </w:r>
      <w:r w:rsidRPr="003A30B6">
        <w:rPr>
          <w:szCs w:val="32"/>
        </w:rPr>
        <w:t>è</w:t>
      </w:r>
      <w:r w:rsidRPr="003A30B6">
        <w:rPr>
          <w:szCs w:val="32"/>
        </w:rPr>
        <w:t>res décennies, ont cherché à rendre compte de certaines des transfo</w:t>
      </w:r>
      <w:r w:rsidRPr="003A30B6">
        <w:rPr>
          <w:szCs w:val="32"/>
        </w:rPr>
        <w:t>r</w:t>
      </w:r>
      <w:r w:rsidRPr="003A30B6">
        <w:rPr>
          <w:szCs w:val="32"/>
        </w:rPr>
        <w:t>mations du rapport salarial (et, par delà, des rapports entre les classes sociales, faits de compromis et de conflits) en termes d'exclusion : ou que l'on remonte aux paradigmes sociologiques qui sont en arrière-plan de cette notion, nous retrouvons à chaque fois une commune d</w:t>
      </w:r>
      <w:r w:rsidRPr="003A30B6">
        <w:rPr>
          <w:szCs w:val="32"/>
        </w:rPr>
        <w:t>é</w:t>
      </w:r>
      <w:r w:rsidRPr="003A30B6">
        <w:rPr>
          <w:szCs w:val="32"/>
        </w:rPr>
        <w:t>négation du schème du conflit, et tout particulièrement de la lutte des classes, comme geste fondateur de cette orientation sociologique.</w:t>
      </w:r>
    </w:p>
    <w:p w:rsidR="003F0EA0" w:rsidRPr="003A30B6" w:rsidRDefault="003F0EA0" w:rsidP="003F0EA0">
      <w:pPr>
        <w:spacing w:before="120" w:after="120"/>
        <w:jc w:val="both"/>
      </w:pPr>
      <w:r w:rsidRPr="003A30B6">
        <w:rPr>
          <w:szCs w:val="32"/>
        </w:rPr>
        <w:t>L'hypothèse que nous voudrions Introduire pour conclure cet art</w:t>
      </w:r>
      <w:r w:rsidRPr="003A30B6">
        <w:rPr>
          <w:szCs w:val="32"/>
        </w:rPr>
        <w:t>i</w:t>
      </w:r>
      <w:r w:rsidRPr="003A30B6">
        <w:rPr>
          <w:szCs w:val="32"/>
        </w:rPr>
        <w:t>cle, tout en ouvrant ainsi de nouveaux horizons de recherche, est que ce geste fondateur n'est pas propre à cette seule orientation, qu'il n'est autre en définitive que le geste à la fois Inaugural et constamment r</w:t>
      </w:r>
      <w:r w:rsidRPr="003A30B6">
        <w:rPr>
          <w:szCs w:val="32"/>
        </w:rPr>
        <w:t>é</w:t>
      </w:r>
      <w:r w:rsidRPr="003A30B6">
        <w:rPr>
          <w:szCs w:val="32"/>
        </w:rPr>
        <w:t>itéré, sous des formes toujours renouvelées, de la tradition sociolog</w:t>
      </w:r>
      <w:r w:rsidRPr="003A30B6">
        <w:rPr>
          <w:szCs w:val="32"/>
        </w:rPr>
        <w:t>i</w:t>
      </w:r>
      <w:r w:rsidRPr="003A30B6">
        <w:rPr>
          <w:szCs w:val="32"/>
        </w:rPr>
        <w:t>que française dans son ensemble, à de très rares exceptions près. La place nous manque Ici pour développer pleinement cette hypothèse, encore plus pour la fonder et lui donner la force d'une thèse étayée. Nous nous contenterons de quelques remarques</w:t>
      </w:r>
      <w:r>
        <w:rPr>
          <w:szCs w:val="32"/>
        </w:rPr>
        <w:t xml:space="preserve"> </w:t>
      </w:r>
      <w:r w:rsidRPr="003A30B6">
        <w:rPr>
          <w:szCs w:val="32"/>
        </w:rPr>
        <w:t>destinées à suggérer sa fécondité critique et heuristique.</w:t>
      </w:r>
    </w:p>
    <w:p w:rsidR="003F0EA0" w:rsidRPr="003A30B6" w:rsidRDefault="003F0EA0" w:rsidP="003F0EA0">
      <w:pPr>
        <w:spacing w:before="120" w:after="120"/>
        <w:jc w:val="both"/>
      </w:pPr>
      <w:r w:rsidRPr="003A30B6">
        <w:rPr>
          <w:szCs w:val="32"/>
        </w:rPr>
        <w:t>Le schème de la lutte a longtemps été secondaire, si ce n'est absent, dans la sociologie française telle qu'elle s'est construite progressiv</w:t>
      </w:r>
      <w:r w:rsidRPr="003A30B6">
        <w:rPr>
          <w:szCs w:val="32"/>
        </w:rPr>
        <w:t>e</w:t>
      </w:r>
      <w:r w:rsidRPr="003A30B6">
        <w:rPr>
          <w:szCs w:val="32"/>
        </w:rPr>
        <w:t>ment, telle qu'elle s'est Institutionnalisée à partir de la fin du XIX</w:t>
      </w:r>
      <w:r w:rsidRPr="003A30B6">
        <w:rPr>
          <w:szCs w:val="32"/>
          <w:vertAlign w:val="superscript"/>
        </w:rPr>
        <w:t>e</w:t>
      </w:r>
      <w:r w:rsidRPr="003A30B6">
        <w:rPr>
          <w:szCs w:val="32"/>
        </w:rPr>
        <w:t xml:space="preserve"> si</w:t>
      </w:r>
      <w:r w:rsidRPr="003A30B6">
        <w:rPr>
          <w:szCs w:val="32"/>
        </w:rPr>
        <w:t>è</w:t>
      </w:r>
      <w:r w:rsidRPr="003A30B6">
        <w:rPr>
          <w:szCs w:val="32"/>
        </w:rPr>
        <w:t xml:space="preserve">cle. </w:t>
      </w:r>
      <w:r>
        <w:rPr>
          <w:szCs w:val="32"/>
        </w:rPr>
        <w:t>À</w:t>
      </w:r>
      <w:r w:rsidRPr="003A30B6">
        <w:rPr>
          <w:szCs w:val="32"/>
        </w:rPr>
        <w:t xml:space="preserve"> l'opposé, le conflit est présent de manière centrale aussi bien chez K</w:t>
      </w:r>
      <w:r>
        <w:rPr>
          <w:szCs w:val="32"/>
        </w:rPr>
        <w:t>arl Marx que chez Max Weber ou G</w:t>
      </w:r>
      <w:r w:rsidRPr="003A30B6">
        <w:rPr>
          <w:szCs w:val="32"/>
        </w:rPr>
        <w:t>eorg Simmel, quoique de façon à chaque fois spécifique. Ce schème n'a été introduit dans la sociologie française que bien tardivement, encore que partiellement. Entre autres raisons parce que les analyses proposées par Marx n'av</w:t>
      </w:r>
      <w:r w:rsidRPr="003A30B6">
        <w:rPr>
          <w:szCs w:val="32"/>
        </w:rPr>
        <w:t>a</w:t>
      </w:r>
      <w:r w:rsidRPr="003A30B6">
        <w:rPr>
          <w:szCs w:val="32"/>
        </w:rPr>
        <w:t>lent pas droit de cité. Le marxisme, quelles qu'en soient au demeurant les variantes, était en effet pendant très longtemps « Introuvable » en France, pour reprendre l'expression judicieuse de Daniel Lindenberg, en particulier à l'université. Les luttes sociales étalent ramenées à la seule « question sociale », et cette dernière renvoyait pour l'essentiel au « paupérisme » (et à la rengaine « classes laborieuses, classes da</w:t>
      </w:r>
      <w:r w:rsidRPr="003A30B6">
        <w:rPr>
          <w:szCs w:val="32"/>
        </w:rPr>
        <w:t>n</w:t>
      </w:r>
      <w:r w:rsidRPr="003A30B6">
        <w:rPr>
          <w:szCs w:val="32"/>
        </w:rPr>
        <w:t>gereuses ») ou au « socialisme » (le développement des luttes et des organisations ouvrières). Frédéric Le Play, par exemple, a abordé la « question sociale », telle qu'elle émerge au milieu du 19</w:t>
      </w:r>
      <w:r w:rsidRPr="00626117">
        <w:rPr>
          <w:szCs w:val="32"/>
          <w:vertAlign w:val="superscript"/>
        </w:rPr>
        <w:t>e</w:t>
      </w:r>
      <w:r>
        <w:rPr>
          <w:szCs w:val="32"/>
        </w:rPr>
        <w:t xml:space="preserve"> </w:t>
      </w:r>
      <w:r w:rsidRPr="003A30B6">
        <w:rPr>
          <w:szCs w:val="32"/>
        </w:rPr>
        <w:t>siècle, sous le seul angle d'une vision catholique réactionnaire qui réduisait au bout du compte la société à une grande famille patriarcale. Auguste Comte ou Emile Durkheim, empêtrés l'un et l'autre dans le positivi</w:t>
      </w:r>
      <w:r w:rsidRPr="003A30B6">
        <w:rPr>
          <w:szCs w:val="32"/>
        </w:rPr>
        <w:t>s</w:t>
      </w:r>
      <w:r w:rsidRPr="003A30B6">
        <w:rPr>
          <w:szCs w:val="32"/>
        </w:rPr>
        <w:t>me, étalent pour l'essentiel incapables de prendre en compte les conflits traversant la société française de leur époque</w:t>
      </w:r>
      <w:r>
        <w:rPr>
          <w:szCs w:val="32"/>
        </w:rPr>
        <w:t> </w:t>
      </w:r>
      <w:r>
        <w:rPr>
          <w:rStyle w:val="Marquenotebasdepage"/>
          <w:szCs w:val="32"/>
        </w:rPr>
        <w:footnoteReference w:id="7"/>
      </w:r>
      <w:r w:rsidRPr="003A30B6">
        <w:rPr>
          <w:szCs w:val="32"/>
        </w:rPr>
        <w:t>. Il faudrait I</w:t>
      </w:r>
      <w:r w:rsidRPr="003A30B6">
        <w:rPr>
          <w:szCs w:val="32"/>
        </w:rPr>
        <w:t>n</w:t>
      </w:r>
      <w:r w:rsidRPr="003A30B6">
        <w:rPr>
          <w:szCs w:val="32"/>
        </w:rPr>
        <w:t>sister Ici sur la fo</w:t>
      </w:r>
      <w:r>
        <w:rPr>
          <w:szCs w:val="32"/>
        </w:rPr>
        <w:t>nction de la sociologie durkhei</w:t>
      </w:r>
      <w:r w:rsidRPr="003A30B6">
        <w:rPr>
          <w:szCs w:val="32"/>
        </w:rPr>
        <w:t>mienne et du solid</w:t>
      </w:r>
      <w:r w:rsidRPr="003A30B6">
        <w:rPr>
          <w:szCs w:val="32"/>
        </w:rPr>
        <w:t>a</w:t>
      </w:r>
      <w:r w:rsidRPr="003A30B6">
        <w:rPr>
          <w:szCs w:val="32"/>
        </w:rPr>
        <w:t>risme républicain, avec lequel elle a partie liée, comme contre-feu à la diffusion des Idéologies socialistes et syndicalistes et, à travers elles, à l'idée de lu</w:t>
      </w:r>
      <w:r>
        <w:rPr>
          <w:szCs w:val="32"/>
        </w:rPr>
        <w:t>tte des classes précisément. Larr</w:t>
      </w:r>
      <w:r w:rsidRPr="003A30B6">
        <w:rPr>
          <w:szCs w:val="32"/>
        </w:rPr>
        <w:t>y Portis et Michaël Löwy ont proposé quelques pistes pour une telle étude.</w:t>
      </w:r>
    </w:p>
    <w:p w:rsidR="003F0EA0" w:rsidRPr="003A30B6" w:rsidRDefault="003F0EA0" w:rsidP="003F0EA0">
      <w:pPr>
        <w:spacing w:before="120" w:after="120"/>
        <w:jc w:val="both"/>
      </w:pPr>
      <w:r w:rsidRPr="003A30B6">
        <w:rPr>
          <w:szCs w:val="32"/>
        </w:rPr>
        <w:t xml:space="preserve">Dans la sociologie française dominante, le schème de la lutte s'est simplement surajouté au discours privilégiant l'harmonie sociale (à restaurer ou à instaurer). Il a notamment pris la forme spécifique de la </w:t>
      </w:r>
      <w:r w:rsidRPr="003A30B6">
        <w:rPr>
          <w:i/>
          <w:iCs/>
          <w:szCs w:val="32"/>
        </w:rPr>
        <w:t xml:space="preserve">distinction, </w:t>
      </w:r>
      <w:r w:rsidRPr="003A30B6">
        <w:rPr>
          <w:szCs w:val="32"/>
        </w:rPr>
        <w:t>telle qu'elle se met en place au début du 20</w:t>
      </w:r>
      <w:r w:rsidRPr="00626117">
        <w:rPr>
          <w:szCs w:val="32"/>
          <w:vertAlign w:val="superscript"/>
        </w:rPr>
        <w:t>e</w:t>
      </w:r>
      <w:r>
        <w:rPr>
          <w:szCs w:val="32"/>
        </w:rPr>
        <w:t xml:space="preserve"> </w:t>
      </w:r>
      <w:r w:rsidRPr="003A30B6">
        <w:rPr>
          <w:szCs w:val="32"/>
        </w:rPr>
        <w:t>siècle chez Edmond Goblot, mais aussi chez Maurice Halbwachs, bien avant</w:t>
      </w:r>
      <w:r>
        <w:rPr>
          <w:szCs w:val="32"/>
        </w:rPr>
        <w:t xml:space="preserve"> </w:t>
      </w:r>
      <w:r>
        <w:rPr>
          <w:szCs w:val="30"/>
        </w:rPr>
        <w:t xml:space="preserve">[128] </w:t>
      </w:r>
      <w:r w:rsidRPr="003A30B6">
        <w:rPr>
          <w:szCs w:val="30"/>
        </w:rPr>
        <w:t>que Pierre Bourdieu en fasse un thème central de sa pensée. II faut Insister à cet égard sur la</w:t>
      </w:r>
      <w:r>
        <w:rPr>
          <w:szCs w:val="30"/>
        </w:rPr>
        <w:t xml:space="preserve"> dette non avouée du dernier à l’</w:t>
      </w:r>
      <w:r w:rsidRPr="003A30B6">
        <w:rPr>
          <w:szCs w:val="30"/>
        </w:rPr>
        <w:t>égard des deux premiers. Ce schème de la distinction conduit cependant à priv</w:t>
      </w:r>
      <w:r w:rsidRPr="003A30B6">
        <w:rPr>
          <w:szCs w:val="30"/>
        </w:rPr>
        <w:t>i</w:t>
      </w:r>
      <w:r w:rsidRPr="003A30B6">
        <w:rPr>
          <w:szCs w:val="30"/>
        </w:rPr>
        <w:t>légier la lutte des places (pour le classement) au détriment de la lutte des classes qui est réduite, voire, une fois de plus, occultée. De mani</w:t>
      </w:r>
      <w:r w:rsidRPr="003A30B6">
        <w:rPr>
          <w:szCs w:val="30"/>
        </w:rPr>
        <w:t>è</w:t>
      </w:r>
      <w:r w:rsidRPr="003A30B6">
        <w:rPr>
          <w:szCs w:val="30"/>
        </w:rPr>
        <w:t>re tout aussi symptomatique</w:t>
      </w:r>
      <w:r>
        <w:rPr>
          <w:szCs w:val="30"/>
        </w:rPr>
        <w:t>,</w:t>
      </w:r>
      <w:r w:rsidRPr="003A30B6">
        <w:rPr>
          <w:szCs w:val="30"/>
        </w:rPr>
        <w:t xml:space="preserve"> dans cette orientation, longtemps le tr</w:t>
      </w:r>
      <w:r w:rsidRPr="003A30B6">
        <w:rPr>
          <w:szCs w:val="30"/>
        </w:rPr>
        <w:t>a</w:t>
      </w:r>
      <w:r w:rsidRPr="003A30B6">
        <w:rPr>
          <w:szCs w:val="30"/>
        </w:rPr>
        <w:t>vail ou la production ne sont pas considérés comme des objets d'étude centraux. Ce schème de la distinction ne fonctionne</w:t>
      </w:r>
      <w:r>
        <w:rPr>
          <w:szCs w:val="30"/>
        </w:rPr>
        <w:t>-t-il</w:t>
      </w:r>
      <w:r w:rsidRPr="003A30B6">
        <w:rPr>
          <w:szCs w:val="30"/>
        </w:rPr>
        <w:t xml:space="preserve"> pas en définitive comme une « formation de compromis</w:t>
      </w:r>
      <w:r>
        <w:rPr>
          <w:szCs w:val="30"/>
        </w:rPr>
        <w:t> »</w:t>
      </w:r>
      <w:r w:rsidRPr="003A30B6">
        <w:rPr>
          <w:szCs w:val="30"/>
        </w:rPr>
        <w:t xml:space="preserve"> au sens de la ps</w:t>
      </w:r>
      <w:r w:rsidRPr="003A30B6">
        <w:rPr>
          <w:szCs w:val="30"/>
        </w:rPr>
        <w:t>y</w:t>
      </w:r>
      <w:r w:rsidRPr="003A30B6">
        <w:rPr>
          <w:szCs w:val="30"/>
        </w:rPr>
        <w:t>chan</w:t>
      </w:r>
      <w:r w:rsidRPr="003A30B6">
        <w:rPr>
          <w:szCs w:val="30"/>
        </w:rPr>
        <w:t>a</w:t>
      </w:r>
      <w:r w:rsidRPr="003A30B6">
        <w:rPr>
          <w:szCs w:val="30"/>
        </w:rPr>
        <w:t>lyse : comme un « lapsus » résultant d'un compromis (Inavoué parce qu'inconscient ?) entre reconnaissance de la lutte des classes et dénégation de cette même conflictualité sous l'effet du paradigme d</w:t>
      </w:r>
      <w:r w:rsidRPr="003A30B6">
        <w:rPr>
          <w:szCs w:val="30"/>
        </w:rPr>
        <w:t>o</w:t>
      </w:r>
      <w:r w:rsidRPr="003A30B6">
        <w:rPr>
          <w:szCs w:val="30"/>
        </w:rPr>
        <w:t>minant ? Une relecture de la tradition sociologique française à la l</w:t>
      </w:r>
      <w:r w:rsidRPr="003A30B6">
        <w:rPr>
          <w:szCs w:val="30"/>
        </w:rPr>
        <w:t>u</w:t>
      </w:r>
      <w:r w:rsidRPr="003A30B6">
        <w:rPr>
          <w:szCs w:val="30"/>
        </w:rPr>
        <w:t>mière de cette hypothèse ouvrirait, nous en sommes convaincus, des per</w:t>
      </w:r>
      <w:r w:rsidRPr="003A30B6">
        <w:rPr>
          <w:szCs w:val="30"/>
        </w:rPr>
        <w:t>s</w:t>
      </w:r>
      <w:r w:rsidRPr="003A30B6">
        <w:rPr>
          <w:szCs w:val="30"/>
        </w:rPr>
        <w:t>pectives à la fois originales et fécondes.</w:t>
      </w:r>
    </w:p>
    <w:p w:rsidR="003F0EA0" w:rsidRDefault="003F0EA0" w:rsidP="003F0EA0">
      <w:pPr>
        <w:spacing w:before="120" w:after="120"/>
        <w:jc w:val="both"/>
      </w:pPr>
    </w:p>
    <w:p w:rsidR="003F0EA0" w:rsidRPr="003A30B6" w:rsidRDefault="003F0EA0" w:rsidP="003F0EA0">
      <w:pPr>
        <w:pStyle w:val="planche"/>
      </w:pPr>
      <w:bookmarkStart w:id="9" w:name="Exclusion_biblio"/>
      <w:r w:rsidRPr="003A30B6">
        <w:t>Bibliographie</w:t>
      </w:r>
    </w:p>
    <w:bookmarkEnd w:id="9"/>
    <w:p w:rsidR="003F0EA0" w:rsidRDefault="003F0EA0" w:rsidP="003F0EA0">
      <w:pPr>
        <w:spacing w:before="120" w:after="120"/>
        <w:jc w:val="both"/>
        <w:rPr>
          <w:szCs w:val="30"/>
        </w:rPr>
      </w:pPr>
    </w:p>
    <w:p w:rsidR="003F0EA0" w:rsidRPr="00384B20" w:rsidRDefault="003F0EA0" w:rsidP="003F0EA0">
      <w:pPr>
        <w:ind w:right="90" w:firstLine="0"/>
        <w:jc w:val="both"/>
        <w:rPr>
          <w:sz w:val="20"/>
        </w:rPr>
      </w:pPr>
      <w:hyperlink w:anchor="tdm" w:history="1">
        <w:r w:rsidRPr="00384B20">
          <w:rPr>
            <w:rStyle w:val="Lienhypertexte"/>
            <w:sz w:val="20"/>
          </w:rPr>
          <w:t>Retour à la table des matières</w:t>
        </w:r>
      </w:hyperlink>
    </w:p>
    <w:p w:rsidR="003F0EA0" w:rsidRPr="003A30B6" w:rsidRDefault="003F0EA0" w:rsidP="003F0EA0">
      <w:pPr>
        <w:spacing w:before="120" w:after="120"/>
        <w:jc w:val="both"/>
      </w:pPr>
      <w:r w:rsidRPr="003A30B6">
        <w:rPr>
          <w:szCs w:val="30"/>
        </w:rPr>
        <w:t>BALIBAR Etienne, « Inégalités, fractionnement social, excl</w:t>
      </w:r>
      <w:r w:rsidRPr="003A30B6">
        <w:rPr>
          <w:szCs w:val="30"/>
        </w:rPr>
        <w:t>u</w:t>
      </w:r>
      <w:r w:rsidRPr="003A30B6">
        <w:rPr>
          <w:szCs w:val="30"/>
        </w:rPr>
        <w:t xml:space="preserve">sion », In </w:t>
      </w:r>
      <w:r w:rsidRPr="003A30B6">
        <w:rPr>
          <w:i/>
          <w:iCs/>
          <w:szCs w:val="30"/>
        </w:rPr>
        <w:t xml:space="preserve">Justice sociale et inégalités </w:t>
      </w:r>
      <w:r w:rsidRPr="003A30B6">
        <w:rPr>
          <w:szCs w:val="30"/>
        </w:rPr>
        <w:t>(d</w:t>
      </w:r>
      <w:r>
        <w:rPr>
          <w:szCs w:val="30"/>
        </w:rPr>
        <w:t>ir. Affi</w:t>
      </w:r>
      <w:r w:rsidRPr="003A30B6">
        <w:rPr>
          <w:szCs w:val="30"/>
        </w:rPr>
        <w:t>chard et de Foucault). Paris. Seull/Esprlt.1992.</w:t>
      </w:r>
    </w:p>
    <w:p w:rsidR="003F0EA0" w:rsidRPr="003A30B6" w:rsidRDefault="003F0EA0" w:rsidP="003F0EA0">
      <w:pPr>
        <w:spacing w:before="120" w:after="120"/>
        <w:jc w:val="both"/>
      </w:pPr>
      <w:r w:rsidRPr="003A30B6">
        <w:rPr>
          <w:szCs w:val="30"/>
        </w:rPr>
        <w:t xml:space="preserve">BIHR, Alain. </w:t>
      </w:r>
      <w:r w:rsidRPr="003A30B6">
        <w:rPr>
          <w:i/>
          <w:iCs/>
          <w:szCs w:val="30"/>
        </w:rPr>
        <w:t xml:space="preserve">Du </w:t>
      </w:r>
      <w:r w:rsidRPr="003A30B6">
        <w:rPr>
          <w:szCs w:val="30"/>
        </w:rPr>
        <w:t>« </w:t>
      </w:r>
      <w:r>
        <w:rPr>
          <w:i/>
          <w:iCs/>
          <w:szCs w:val="30"/>
        </w:rPr>
        <w:t>Grand Soir » à « l’</w:t>
      </w:r>
      <w:r w:rsidRPr="003A30B6">
        <w:rPr>
          <w:i/>
          <w:iCs/>
          <w:szCs w:val="30"/>
        </w:rPr>
        <w:t>alternative »</w:t>
      </w:r>
      <w:r w:rsidRPr="003A30B6">
        <w:rPr>
          <w:szCs w:val="30"/>
        </w:rPr>
        <w:t xml:space="preserve">, </w:t>
      </w:r>
      <w:r>
        <w:rPr>
          <w:i/>
          <w:iCs/>
          <w:szCs w:val="30"/>
        </w:rPr>
        <w:t>Le mou</w:t>
      </w:r>
      <w:r w:rsidRPr="003A30B6">
        <w:rPr>
          <w:i/>
          <w:iCs/>
          <w:szCs w:val="30"/>
        </w:rPr>
        <w:t xml:space="preserve">vement ouvrier européen en crise, </w:t>
      </w:r>
      <w:r w:rsidRPr="003A30B6">
        <w:rPr>
          <w:szCs w:val="30"/>
        </w:rPr>
        <w:t>Paris. Editions Ouvrières (Editions de l'Atelier). 1991.</w:t>
      </w:r>
    </w:p>
    <w:p w:rsidR="003F0EA0" w:rsidRPr="003A30B6" w:rsidRDefault="003F0EA0" w:rsidP="003F0EA0">
      <w:pPr>
        <w:spacing w:before="120" w:after="120"/>
        <w:jc w:val="both"/>
      </w:pPr>
      <w:r w:rsidRPr="003A30B6">
        <w:rPr>
          <w:szCs w:val="30"/>
        </w:rPr>
        <w:t xml:space="preserve">BIHR, Alain et PFEFFERKORN. Roland. </w:t>
      </w:r>
      <w:r w:rsidRPr="003A30B6">
        <w:rPr>
          <w:i/>
          <w:iCs/>
          <w:szCs w:val="30"/>
        </w:rPr>
        <w:t>Déchiffrer les inégal</w:t>
      </w:r>
      <w:r w:rsidRPr="003A30B6">
        <w:rPr>
          <w:i/>
          <w:iCs/>
          <w:szCs w:val="30"/>
        </w:rPr>
        <w:t>i</w:t>
      </w:r>
      <w:r w:rsidRPr="003A30B6">
        <w:rPr>
          <w:i/>
          <w:iCs/>
          <w:szCs w:val="30"/>
        </w:rPr>
        <w:t xml:space="preserve">tés, </w:t>
      </w:r>
      <w:r w:rsidRPr="003A30B6">
        <w:rPr>
          <w:szCs w:val="30"/>
        </w:rPr>
        <w:t>Paris. Syros  (1</w:t>
      </w:r>
      <w:r w:rsidRPr="009A285D">
        <w:rPr>
          <w:szCs w:val="30"/>
          <w:vertAlign w:val="superscript"/>
        </w:rPr>
        <w:t>ère</w:t>
      </w:r>
      <w:r>
        <w:rPr>
          <w:szCs w:val="30"/>
        </w:rPr>
        <w:t xml:space="preserve"> </w:t>
      </w:r>
      <w:r w:rsidRPr="003A30B6">
        <w:rPr>
          <w:szCs w:val="30"/>
        </w:rPr>
        <w:t>édition : 1995).  1999.</w:t>
      </w:r>
    </w:p>
    <w:p w:rsidR="003F0EA0" w:rsidRPr="003A30B6" w:rsidRDefault="003F0EA0" w:rsidP="003F0EA0">
      <w:pPr>
        <w:spacing w:before="120" w:after="120"/>
        <w:jc w:val="both"/>
      </w:pPr>
      <w:r w:rsidRPr="003A30B6">
        <w:rPr>
          <w:szCs w:val="30"/>
        </w:rPr>
        <w:t xml:space="preserve">BOUGUET, Denis et NOGUES, Henry. </w:t>
      </w:r>
      <w:r w:rsidRPr="003A30B6">
        <w:rPr>
          <w:i/>
          <w:iCs/>
          <w:szCs w:val="30"/>
        </w:rPr>
        <w:t>« </w:t>
      </w:r>
      <w:r w:rsidRPr="003A30B6">
        <w:rPr>
          <w:szCs w:val="30"/>
        </w:rPr>
        <w:t>Evaluation des polit</w:t>
      </w:r>
      <w:r w:rsidRPr="003A30B6">
        <w:rPr>
          <w:szCs w:val="30"/>
        </w:rPr>
        <w:t>i</w:t>
      </w:r>
      <w:r w:rsidRPr="003A30B6">
        <w:rPr>
          <w:szCs w:val="30"/>
        </w:rPr>
        <w:t xml:space="preserve">ques de lutte contre les exclusions sociales ». Revue </w:t>
      </w:r>
      <w:r w:rsidRPr="003A30B6">
        <w:rPr>
          <w:i/>
          <w:iCs/>
          <w:szCs w:val="30"/>
        </w:rPr>
        <w:t>française des a</w:t>
      </w:r>
      <w:r w:rsidRPr="003A30B6">
        <w:rPr>
          <w:i/>
          <w:iCs/>
          <w:szCs w:val="30"/>
        </w:rPr>
        <w:t>f</w:t>
      </w:r>
      <w:r w:rsidRPr="003A30B6">
        <w:rPr>
          <w:i/>
          <w:iCs/>
          <w:szCs w:val="30"/>
        </w:rPr>
        <w:t xml:space="preserve">faires sociales, </w:t>
      </w:r>
      <w:r w:rsidRPr="003A30B6">
        <w:rPr>
          <w:szCs w:val="30"/>
        </w:rPr>
        <w:t>avril-Juin 1994.</w:t>
      </w:r>
    </w:p>
    <w:p w:rsidR="003F0EA0" w:rsidRPr="003A30B6" w:rsidRDefault="003F0EA0" w:rsidP="003F0EA0">
      <w:pPr>
        <w:spacing w:before="120" w:after="120"/>
        <w:jc w:val="both"/>
      </w:pPr>
      <w:r w:rsidRPr="003A30B6">
        <w:rPr>
          <w:szCs w:val="30"/>
        </w:rPr>
        <w:t xml:space="preserve">BOYER, Robert., </w:t>
      </w:r>
      <w:r w:rsidRPr="003A30B6">
        <w:rPr>
          <w:i/>
          <w:iCs/>
          <w:szCs w:val="30"/>
        </w:rPr>
        <w:t>La théorie de la régulation : une analyse crit</w:t>
      </w:r>
      <w:r w:rsidRPr="003A30B6">
        <w:rPr>
          <w:i/>
          <w:iCs/>
          <w:szCs w:val="30"/>
        </w:rPr>
        <w:t>i</w:t>
      </w:r>
      <w:r w:rsidRPr="003A30B6">
        <w:rPr>
          <w:i/>
          <w:iCs/>
          <w:szCs w:val="30"/>
        </w:rPr>
        <w:t xml:space="preserve">que, </w:t>
      </w:r>
      <w:r w:rsidRPr="003A30B6">
        <w:rPr>
          <w:szCs w:val="30"/>
        </w:rPr>
        <w:t>Paris. La Découverte. 1987.</w:t>
      </w:r>
    </w:p>
    <w:p w:rsidR="003F0EA0" w:rsidRPr="003A30B6" w:rsidRDefault="003F0EA0" w:rsidP="003F0EA0">
      <w:pPr>
        <w:spacing w:before="120" w:after="120"/>
        <w:jc w:val="both"/>
      </w:pPr>
      <w:r w:rsidRPr="003A30B6">
        <w:rPr>
          <w:szCs w:val="30"/>
        </w:rPr>
        <w:t xml:space="preserve">CASTEL. Robert » </w:t>
      </w:r>
      <w:r w:rsidRPr="003A30B6">
        <w:rPr>
          <w:i/>
          <w:iCs/>
          <w:szCs w:val="30"/>
        </w:rPr>
        <w:t xml:space="preserve">La Métamorphose de la question sociale. Une chronique du  salariat,   </w:t>
      </w:r>
      <w:r w:rsidRPr="003A30B6">
        <w:rPr>
          <w:szCs w:val="30"/>
        </w:rPr>
        <w:t>Paris.   Fayard.   1995.</w:t>
      </w:r>
    </w:p>
    <w:p w:rsidR="003F0EA0" w:rsidRPr="003A30B6" w:rsidRDefault="003F0EA0" w:rsidP="003F0EA0">
      <w:pPr>
        <w:spacing w:before="120" w:after="120"/>
        <w:jc w:val="both"/>
      </w:pPr>
      <w:r w:rsidRPr="003A30B6">
        <w:rPr>
          <w:szCs w:val="30"/>
        </w:rPr>
        <w:t>Commissariat Général au Plan. Rapport du groupe technique qua</w:t>
      </w:r>
      <w:r w:rsidRPr="003A30B6">
        <w:rPr>
          <w:szCs w:val="30"/>
        </w:rPr>
        <w:t>n</w:t>
      </w:r>
      <w:r w:rsidRPr="003A30B6">
        <w:rPr>
          <w:szCs w:val="30"/>
        </w:rPr>
        <w:t xml:space="preserve">titatif sur la prospective de l'exclusion. </w:t>
      </w:r>
      <w:r w:rsidRPr="003A30B6">
        <w:rPr>
          <w:i/>
          <w:iCs/>
          <w:szCs w:val="30"/>
        </w:rPr>
        <w:t xml:space="preserve">Exclus et exclusion : connaître les populations, comprendre les processus, </w:t>
      </w:r>
      <w:r>
        <w:rPr>
          <w:szCs w:val="30"/>
        </w:rPr>
        <w:t xml:space="preserve">Paris, </w:t>
      </w:r>
      <w:r w:rsidRPr="003A30B6">
        <w:rPr>
          <w:szCs w:val="30"/>
        </w:rPr>
        <w:t>janvier 1992.</w:t>
      </w:r>
    </w:p>
    <w:p w:rsidR="003F0EA0" w:rsidRPr="003A30B6" w:rsidRDefault="003F0EA0" w:rsidP="003F0EA0">
      <w:pPr>
        <w:spacing w:before="120" w:after="120"/>
        <w:jc w:val="both"/>
      </w:pPr>
      <w:r>
        <w:rPr>
          <w:szCs w:val="30"/>
        </w:rPr>
        <w:t>DUBET. François et LAPEYRON</w:t>
      </w:r>
      <w:r w:rsidRPr="003A30B6">
        <w:rPr>
          <w:szCs w:val="30"/>
        </w:rPr>
        <w:t>NIE</w:t>
      </w:r>
      <w:r w:rsidRPr="003A30B6">
        <w:rPr>
          <w:szCs w:val="30"/>
          <w:vertAlign w:val="subscript"/>
        </w:rPr>
        <w:t>t</w:t>
      </w:r>
      <w:r w:rsidRPr="003A30B6">
        <w:rPr>
          <w:szCs w:val="30"/>
        </w:rPr>
        <w:t xml:space="preserve"> Didier </w:t>
      </w:r>
      <w:r w:rsidRPr="003A30B6">
        <w:rPr>
          <w:i/>
          <w:iCs/>
          <w:szCs w:val="30"/>
        </w:rPr>
        <w:t xml:space="preserve">Les Quartiers d'exil. </w:t>
      </w:r>
      <w:r w:rsidRPr="003A30B6">
        <w:rPr>
          <w:szCs w:val="30"/>
        </w:rPr>
        <w:t>Paris. Seuil. 1992.</w:t>
      </w:r>
    </w:p>
    <w:p w:rsidR="003F0EA0" w:rsidRPr="003A30B6" w:rsidRDefault="003F0EA0" w:rsidP="003F0EA0">
      <w:pPr>
        <w:spacing w:before="120" w:after="120"/>
        <w:jc w:val="both"/>
      </w:pPr>
      <w:r w:rsidRPr="003A30B6">
        <w:rPr>
          <w:i/>
          <w:iCs/>
          <w:szCs w:val="30"/>
        </w:rPr>
        <w:t xml:space="preserve">Esprit. </w:t>
      </w:r>
      <w:r w:rsidRPr="003A30B6">
        <w:rPr>
          <w:szCs w:val="30"/>
        </w:rPr>
        <w:t>Numéro spécial : « Face à l'exclusion », Paris (avec des contributions de Jacques Donzelot, Joël Roman, Robert Castel. etc.), 1991.</w:t>
      </w:r>
    </w:p>
    <w:p w:rsidR="003F0EA0" w:rsidRPr="003A30B6" w:rsidRDefault="003F0EA0" w:rsidP="003F0EA0">
      <w:pPr>
        <w:spacing w:before="120" w:after="120"/>
        <w:jc w:val="both"/>
      </w:pPr>
      <w:r w:rsidRPr="003A30B6">
        <w:rPr>
          <w:szCs w:val="30"/>
        </w:rPr>
        <w:t xml:space="preserve">GOBLOT, Edmond, </w:t>
      </w:r>
      <w:r w:rsidRPr="003A30B6">
        <w:rPr>
          <w:i/>
          <w:iCs/>
          <w:szCs w:val="30"/>
        </w:rPr>
        <w:t xml:space="preserve">La barrière et le niveau. </w:t>
      </w:r>
      <w:r w:rsidRPr="003A30B6">
        <w:rPr>
          <w:szCs w:val="30"/>
        </w:rPr>
        <w:t>Paris. (Alcan. 1</w:t>
      </w:r>
      <w:r w:rsidRPr="009A285D">
        <w:rPr>
          <w:szCs w:val="30"/>
          <w:vertAlign w:val="superscript"/>
        </w:rPr>
        <w:t>re</w:t>
      </w:r>
      <w:r>
        <w:rPr>
          <w:szCs w:val="30"/>
        </w:rPr>
        <w:t xml:space="preserve"> </w:t>
      </w:r>
      <w:r w:rsidRPr="003A30B6">
        <w:rPr>
          <w:szCs w:val="30"/>
        </w:rPr>
        <w:t>éd</w:t>
      </w:r>
      <w:r w:rsidRPr="003A30B6">
        <w:rPr>
          <w:szCs w:val="30"/>
        </w:rPr>
        <w:t>i</w:t>
      </w:r>
      <w:r w:rsidRPr="003A30B6">
        <w:rPr>
          <w:szCs w:val="30"/>
        </w:rPr>
        <w:t>tion : 1925). Rééd. PUF, 1967.</w:t>
      </w:r>
    </w:p>
    <w:p w:rsidR="003F0EA0" w:rsidRPr="003A30B6" w:rsidRDefault="003F0EA0" w:rsidP="003F0EA0">
      <w:pPr>
        <w:spacing w:before="120" w:after="120"/>
        <w:jc w:val="both"/>
      </w:pPr>
      <w:r w:rsidRPr="003A30B6">
        <w:rPr>
          <w:szCs w:val="30"/>
        </w:rPr>
        <w:t>KARSENTY. Bruno, « Le piège de l'exclusion », Futur antérieur. n° 35-36. Paris, 1996/2.</w:t>
      </w:r>
    </w:p>
    <w:p w:rsidR="003F0EA0" w:rsidRPr="003A30B6" w:rsidRDefault="003F0EA0" w:rsidP="003F0EA0">
      <w:pPr>
        <w:spacing w:before="120" w:after="120"/>
        <w:jc w:val="both"/>
      </w:pPr>
      <w:r>
        <w:rPr>
          <w:szCs w:val="30"/>
        </w:rPr>
        <w:t>KLINGER. Myri</w:t>
      </w:r>
      <w:r w:rsidRPr="003A30B6">
        <w:rPr>
          <w:szCs w:val="30"/>
        </w:rPr>
        <w:t xml:space="preserve">am, « En finir avec l'exclusion » </w:t>
      </w:r>
      <w:r w:rsidRPr="003A30B6">
        <w:rPr>
          <w:i/>
          <w:iCs/>
          <w:szCs w:val="30"/>
        </w:rPr>
        <w:t xml:space="preserve">Sociétés, </w:t>
      </w:r>
      <w:r>
        <w:rPr>
          <w:szCs w:val="30"/>
        </w:rPr>
        <w:t>no 61,</w:t>
      </w:r>
      <w:r w:rsidRPr="003A30B6">
        <w:rPr>
          <w:szCs w:val="30"/>
        </w:rPr>
        <w:t xml:space="preserve">  1998.</w:t>
      </w:r>
    </w:p>
    <w:p w:rsidR="003F0EA0" w:rsidRPr="003A30B6" w:rsidRDefault="003F0EA0" w:rsidP="003F0EA0">
      <w:pPr>
        <w:spacing w:before="120" w:after="120"/>
        <w:jc w:val="both"/>
      </w:pPr>
      <w:r w:rsidRPr="003A30B6">
        <w:rPr>
          <w:szCs w:val="30"/>
        </w:rPr>
        <w:t xml:space="preserve">LENOIR, René, </w:t>
      </w:r>
      <w:r w:rsidRPr="009A285D">
        <w:rPr>
          <w:i/>
          <w:szCs w:val="30"/>
        </w:rPr>
        <w:t>Les exclus. Un Français  sur  dix</w:t>
      </w:r>
      <w:r w:rsidRPr="003A30B6">
        <w:rPr>
          <w:szCs w:val="30"/>
        </w:rPr>
        <w:t>.   Paris.  Seuil.   1974.</w:t>
      </w:r>
    </w:p>
    <w:p w:rsidR="003F0EA0" w:rsidRPr="003A30B6" w:rsidRDefault="003F0EA0" w:rsidP="003F0EA0">
      <w:pPr>
        <w:spacing w:before="120" w:after="120"/>
        <w:jc w:val="both"/>
      </w:pPr>
      <w:r w:rsidRPr="003A30B6">
        <w:rPr>
          <w:szCs w:val="30"/>
        </w:rPr>
        <w:t xml:space="preserve">LINDENBERG. Daniel, </w:t>
      </w:r>
      <w:r w:rsidRPr="009A285D">
        <w:rPr>
          <w:i/>
          <w:szCs w:val="30"/>
        </w:rPr>
        <w:t>Le marxisme introuvable</w:t>
      </w:r>
      <w:r w:rsidRPr="003A30B6">
        <w:rPr>
          <w:szCs w:val="30"/>
        </w:rPr>
        <w:t>. Paris. Calmann-Lévy. 1975.</w:t>
      </w:r>
    </w:p>
    <w:p w:rsidR="003F0EA0" w:rsidRPr="003A30B6" w:rsidRDefault="003F0EA0" w:rsidP="003F0EA0">
      <w:pPr>
        <w:spacing w:before="120" w:after="120"/>
        <w:jc w:val="both"/>
      </w:pPr>
      <w:r>
        <w:rPr>
          <w:szCs w:val="30"/>
        </w:rPr>
        <w:t>LÖ</w:t>
      </w:r>
      <w:r w:rsidRPr="003A30B6">
        <w:rPr>
          <w:szCs w:val="30"/>
        </w:rPr>
        <w:t xml:space="preserve">WY. Michaël. </w:t>
      </w:r>
      <w:r w:rsidRPr="009A285D">
        <w:rPr>
          <w:i/>
          <w:szCs w:val="30"/>
        </w:rPr>
        <w:t>Paysages</w:t>
      </w:r>
      <w:r w:rsidRPr="003A30B6">
        <w:rPr>
          <w:szCs w:val="30"/>
        </w:rPr>
        <w:t xml:space="preserve"> de la vérité ; Une introduction à une sociologie critique de la connaissance. Paris. Anthropos. 1985.</w:t>
      </w:r>
    </w:p>
    <w:p w:rsidR="003F0EA0" w:rsidRPr="003A30B6" w:rsidRDefault="003F0EA0" w:rsidP="003F0EA0">
      <w:pPr>
        <w:spacing w:before="120" w:after="120"/>
        <w:jc w:val="both"/>
      </w:pPr>
      <w:r>
        <w:rPr>
          <w:szCs w:val="30"/>
        </w:rPr>
        <w:t>MESSU. Michel. « </w:t>
      </w:r>
      <w:r w:rsidRPr="003A30B6">
        <w:rPr>
          <w:szCs w:val="30"/>
        </w:rPr>
        <w:t xml:space="preserve">L'exclusion, une catégorisation sans objet ». </w:t>
      </w:r>
      <w:r w:rsidRPr="003A30B6">
        <w:rPr>
          <w:i/>
          <w:iCs/>
          <w:szCs w:val="30"/>
        </w:rPr>
        <w:t xml:space="preserve">Genèses. </w:t>
      </w:r>
      <w:r w:rsidRPr="003A30B6">
        <w:rPr>
          <w:szCs w:val="30"/>
        </w:rPr>
        <w:t>n°</w:t>
      </w:r>
      <w:r>
        <w:rPr>
          <w:szCs w:val="30"/>
        </w:rPr>
        <w:t> </w:t>
      </w:r>
      <w:r w:rsidRPr="003A30B6">
        <w:rPr>
          <w:szCs w:val="30"/>
        </w:rPr>
        <w:t>27. Paris, Juin 1997.</w:t>
      </w:r>
    </w:p>
    <w:p w:rsidR="003F0EA0" w:rsidRPr="003A30B6" w:rsidRDefault="003F0EA0" w:rsidP="003F0EA0">
      <w:pPr>
        <w:spacing w:before="120" w:after="120"/>
        <w:jc w:val="both"/>
      </w:pPr>
      <w:r w:rsidRPr="003A30B6">
        <w:rPr>
          <w:szCs w:val="30"/>
        </w:rPr>
        <w:t xml:space="preserve">PAUGAM. Serge (Dlr.). </w:t>
      </w:r>
      <w:r w:rsidRPr="009A285D">
        <w:rPr>
          <w:i/>
          <w:szCs w:val="30"/>
        </w:rPr>
        <w:t>L’exclusion, l'état de savoirs</w:t>
      </w:r>
      <w:r w:rsidRPr="003A30B6">
        <w:rPr>
          <w:szCs w:val="30"/>
        </w:rPr>
        <w:t>, Paris. La Découverte, 1996.</w:t>
      </w:r>
    </w:p>
    <w:p w:rsidR="003F0EA0" w:rsidRPr="003A30B6" w:rsidRDefault="003F0EA0" w:rsidP="003F0EA0">
      <w:pPr>
        <w:spacing w:before="120" w:after="120"/>
        <w:jc w:val="both"/>
      </w:pPr>
      <w:r>
        <w:rPr>
          <w:szCs w:val="30"/>
        </w:rPr>
        <w:t>PFEFFERKORN. Roland, « Simi</w:t>
      </w:r>
      <w:r w:rsidRPr="003A30B6">
        <w:rPr>
          <w:szCs w:val="30"/>
        </w:rPr>
        <w:t xml:space="preserve">and et Halbwachs, critiques du marginalisme ». </w:t>
      </w:r>
      <w:r w:rsidRPr="003A30B6">
        <w:rPr>
          <w:i/>
          <w:iCs/>
          <w:szCs w:val="30"/>
        </w:rPr>
        <w:t xml:space="preserve">Economies et sociétés. </w:t>
      </w:r>
      <w:r w:rsidRPr="003A30B6">
        <w:rPr>
          <w:szCs w:val="30"/>
        </w:rPr>
        <w:t>(Débats, Série D. n°</w:t>
      </w:r>
      <w:r>
        <w:rPr>
          <w:szCs w:val="30"/>
        </w:rPr>
        <w:t> </w:t>
      </w:r>
      <w:r w:rsidRPr="003A30B6">
        <w:rPr>
          <w:szCs w:val="30"/>
        </w:rPr>
        <w:t>2), n°</w:t>
      </w:r>
      <w:r>
        <w:rPr>
          <w:szCs w:val="30"/>
        </w:rPr>
        <w:t> </w:t>
      </w:r>
      <w:r w:rsidRPr="003A30B6">
        <w:rPr>
          <w:szCs w:val="30"/>
        </w:rPr>
        <w:t>9.  1996.</w:t>
      </w:r>
    </w:p>
    <w:p w:rsidR="003F0EA0" w:rsidRPr="003A30B6" w:rsidRDefault="003F0EA0" w:rsidP="003F0EA0">
      <w:pPr>
        <w:spacing w:before="120" w:after="120"/>
        <w:jc w:val="both"/>
      </w:pPr>
      <w:r w:rsidRPr="003A30B6">
        <w:rPr>
          <w:szCs w:val="30"/>
        </w:rPr>
        <w:t>PFEFFERKORN. Roland, « Maurice Halbwachs et l'éc</w:t>
      </w:r>
      <w:r>
        <w:rPr>
          <w:szCs w:val="30"/>
        </w:rPr>
        <w:t>onomie p</w:t>
      </w:r>
      <w:r>
        <w:rPr>
          <w:szCs w:val="30"/>
        </w:rPr>
        <w:t>o</w:t>
      </w:r>
      <w:r>
        <w:rPr>
          <w:szCs w:val="30"/>
        </w:rPr>
        <w:t>litique ». In de Montli</w:t>
      </w:r>
      <w:r w:rsidRPr="003A30B6">
        <w:rPr>
          <w:szCs w:val="30"/>
        </w:rPr>
        <w:t>bert, Christian (Coord.). Maurice Halbwachs (1877-1944). Presses Universitaires de Strasbourg. 1997.</w:t>
      </w:r>
    </w:p>
    <w:p w:rsidR="003F0EA0" w:rsidRPr="003A30B6" w:rsidRDefault="003F0EA0" w:rsidP="003F0EA0">
      <w:pPr>
        <w:spacing w:before="120" w:after="120"/>
        <w:jc w:val="both"/>
      </w:pPr>
      <w:r>
        <w:rPr>
          <w:szCs w:val="30"/>
        </w:rPr>
        <w:t>PORTIS » Larr</w:t>
      </w:r>
      <w:r w:rsidRPr="003A30B6">
        <w:rPr>
          <w:szCs w:val="30"/>
        </w:rPr>
        <w:t xml:space="preserve">y. Les </w:t>
      </w:r>
      <w:r w:rsidRPr="003A30B6">
        <w:rPr>
          <w:i/>
          <w:iCs/>
          <w:szCs w:val="30"/>
        </w:rPr>
        <w:t>classes sociales en France. Un débat in</w:t>
      </w:r>
      <w:r w:rsidRPr="003A30B6">
        <w:rPr>
          <w:i/>
          <w:iCs/>
          <w:szCs w:val="30"/>
        </w:rPr>
        <w:t>a</w:t>
      </w:r>
      <w:r w:rsidRPr="003A30B6">
        <w:rPr>
          <w:i/>
          <w:iCs/>
          <w:szCs w:val="30"/>
        </w:rPr>
        <w:t xml:space="preserve">chevé </w:t>
      </w:r>
      <w:r w:rsidRPr="003A30B6">
        <w:rPr>
          <w:szCs w:val="30"/>
        </w:rPr>
        <w:t>(1789-1989).</w:t>
      </w:r>
      <w:r>
        <w:rPr>
          <w:szCs w:val="30"/>
        </w:rPr>
        <w:t xml:space="preserve">  Paris,   Editions   ouvrières, </w:t>
      </w:r>
      <w:r w:rsidRPr="003A30B6">
        <w:rPr>
          <w:szCs w:val="30"/>
        </w:rPr>
        <w:t>1989.</w:t>
      </w:r>
    </w:p>
    <w:p w:rsidR="003F0EA0" w:rsidRPr="003A30B6" w:rsidRDefault="003F0EA0" w:rsidP="003F0EA0">
      <w:pPr>
        <w:spacing w:before="120" w:after="120"/>
        <w:jc w:val="both"/>
      </w:pPr>
      <w:r w:rsidRPr="003A30B6">
        <w:rPr>
          <w:szCs w:val="30"/>
        </w:rPr>
        <w:t xml:space="preserve">TOURAINE. Alain et alli. </w:t>
      </w:r>
      <w:r w:rsidRPr="009A285D">
        <w:rPr>
          <w:i/>
          <w:szCs w:val="30"/>
        </w:rPr>
        <w:t>Le grand Refus. Réflexions sur la grève de décembre 1995</w:t>
      </w:r>
      <w:r w:rsidRPr="003A30B6">
        <w:rPr>
          <w:szCs w:val="30"/>
        </w:rPr>
        <w:t>, Paris. Fayard. 1996.</w:t>
      </w:r>
    </w:p>
    <w:p w:rsidR="003F0EA0" w:rsidRPr="003A30B6" w:rsidRDefault="003F0EA0" w:rsidP="003F0EA0">
      <w:pPr>
        <w:spacing w:before="120" w:after="120"/>
        <w:jc w:val="both"/>
      </w:pPr>
      <w:r w:rsidRPr="003A30B6">
        <w:rPr>
          <w:szCs w:val="30"/>
        </w:rPr>
        <w:t xml:space="preserve">XIBERRAS. Martine. </w:t>
      </w:r>
      <w:r w:rsidRPr="003A30B6">
        <w:rPr>
          <w:i/>
          <w:iCs/>
          <w:szCs w:val="30"/>
        </w:rPr>
        <w:t xml:space="preserve">Les théories de l'exclusion. </w:t>
      </w:r>
      <w:r>
        <w:rPr>
          <w:szCs w:val="30"/>
        </w:rPr>
        <w:t>Paris. Mér</w:t>
      </w:r>
      <w:r>
        <w:rPr>
          <w:szCs w:val="30"/>
        </w:rPr>
        <w:t>i</w:t>
      </w:r>
      <w:r>
        <w:rPr>
          <w:szCs w:val="30"/>
        </w:rPr>
        <w:t>diens-Klincksi</w:t>
      </w:r>
      <w:r w:rsidRPr="003A30B6">
        <w:rPr>
          <w:szCs w:val="30"/>
        </w:rPr>
        <w:t>eck, 1993.</w:t>
      </w:r>
    </w:p>
    <w:p w:rsidR="003F0EA0" w:rsidRPr="00E07116" w:rsidRDefault="003F0EA0" w:rsidP="003F0EA0">
      <w:pPr>
        <w:jc w:val="both"/>
      </w:pPr>
    </w:p>
    <w:p w:rsidR="003F0EA0" w:rsidRPr="00E07116" w:rsidRDefault="003F0EA0" w:rsidP="003F0EA0">
      <w:pPr>
        <w:pStyle w:val="suite"/>
      </w:pPr>
      <w:r w:rsidRPr="00E07116">
        <w:t>Fin du texte</w:t>
      </w:r>
    </w:p>
    <w:p w:rsidR="003F0EA0" w:rsidRPr="00E07116" w:rsidRDefault="003F0EA0" w:rsidP="003F0EA0">
      <w:pPr>
        <w:jc w:val="both"/>
      </w:pPr>
    </w:p>
    <w:sectPr w:rsidR="003F0EA0" w:rsidRPr="00E07116" w:rsidSect="003F0EA0">
      <w:headerReference w:type="default" r:id="rId23"/>
      <w:pgSz w:w="12240" w:h="15840"/>
      <w:pgMar w:top="1800" w:right="1440" w:bottom="1440" w:left="2160" w:gutter="72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EA0" w:rsidRDefault="003F0EA0">
      <w:r>
        <w:separator/>
      </w:r>
    </w:p>
  </w:endnote>
  <w:endnote w:type="continuationSeparator" w:id="0">
    <w:p w:rsidR="003F0EA0" w:rsidRDefault="003F0EA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GillSans">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B Times Bold">
    <w:charset w:val="00"/>
    <w:family w:val="auto"/>
    <w:pitch w:val="variable"/>
    <w:sig w:usb0="00000003" w:usb1="00000000" w:usb2="00000000" w:usb3="00000000" w:csb0="00000001" w:csb1="00000000"/>
  </w:font>
  <w:font w:name="AppleGothic">
    <w:panose1 w:val="02000500000000000000"/>
    <w:charset w:val="4F"/>
    <w:family w:val="auto"/>
    <w:pitch w:val="variable"/>
    <w:sig w:usb0="00000001" w:usb1="00000000" w:usb2="01002406" w:usb3="00000000" w:csb0="00080000" w:csb1="00000000"/>
  </w:font>
  <w:font w:name="AppleMyungjo">
    <w:panose1 w:val="02000500000000000000"/>
    <w:charset w:val="4F"/>
    <w:family w:val="auto"/>
    <w:pitch w:val="variable"/>
    <w:sig w:usb0="00000001" w:usb1="00000000" w:usb2="01002406" w:usb3="00000000" w:csb0="0008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EA0" w:rsidRDefault="003F0EA0">
      <w:pPr>
        <w:ind w:firstLine="0"/>
      </w:pPr>
      <w:r>
        <w:separator/>
      </w:r>
    </w:p>
  </w:footnote>
  <w:footnote w:type="continuationSeparator" w:id="0">
    <w:p w:rsidR="003F0EA0" w:rsidRDefault="003F0EA0">
      <w:pPr>
        <w:ind w:firstLine="0"/>
      </w:pPr>
      <w:r>
        <w:separator/>
      </w:r>
    </w:p>
  </w:footnote>
  <w:footnote w:id="1">
    <w:p w:rsidR="003F0EA0" w:rsidRDefault="003F0EA0" w:rsidP="003F0EA0">
      <w:pPr>
        <w:pStyle w:val="Notedebasdepage"/>
      </w:pPr>
      <w:r>
        <w:rPr>
          <w:rStyle w:val="Marquenotebasdepage"/>
        </w:rPr>
        <w:t>*</w:t>
      </w:r>
      <w:r>
        <w:t xml:space="preserve"> </w:t>
      </w:r>
      <w:r>
        <w:tab/>
      </w:r>
      <w:r w:rsidRPr="003A30B6">
        <w:t>Université de Haute-Alsace, Mulhouse</w:t>
      </w:r>
    </w:p>
  </w:footnote>
  <w:footnote w:id="2">
    <w:p w:rsidR="003F0EA0" w:rsidRDefault="003F0EA0" w:rsidP="003F0EA0">
      <w:pPr>
        <w:pStyle w:val="Notedebasdepage"/>
      </w:pPr>
      <w:r>
        <w:rPr>
          <w:rStyle w:val="Marquenotebasdepage"/>
        </w:rPr>
        <w:t>**</w:t>
      </w:r>
      <w:r>
        <w:t xml:space="preserve"> </w:t>
      </w:r>
      <w:r>
        <w:tab/>
      </w:r>
      <w:r w:rsidRPr="003A30B6">
        <w:t>Université Marc Bloch, Strasbourg</w:t>
      </w:r>
    </w:p>
  </w:footnote>
  <w:footnote w:id="3">
    <w:p w:rsidR="003F0EA0" w:rsidRDefault="003F0EA0" w:rsidP="003F0EA0">
      <w:pPr>
        <w:pStyle w:val="Notedebasdepage"/>
      </w:pPr>
      <w:r>
        <w:rPr>
          <w:rStyle w:val="Marquenotebasdepage"/>
        </w:rPr>
        <w:footnoteRef/>
      </w:r>
      <w:r>
        <w:t xml:space="preserve"> </w:t>
      </w:r>
      <w:r>
        <w:tab/>
      </w:r>
      <w:r w:rsidRPr="003A30B6">
        <w:rPr>
          <w:szCs w:val="30"/>
        </w:rPr>
        <w:t>Les approches critiques n'ont pas manqué de se développer parallèlement, voir notamment les contributions de Bruno Karsenty et de Michel Messu dont les références précises figurent dans la bibliographie en fin d'article.</w:t>
      </w:r>
    </w:p>
  </w:footnote>
  <w:footnote w:id="4">
    <w:p w:rsidR="003F0EA0" w:rsidRDefault="003F0EA0">
      <w:pPr>
        <w:pStyle w:val="Notedebasdepage"/>
      </w:pPr>
      <w:r>
        <w:rPr>
          <w:rStyle w:val="Marquenotebasdepage"/>
        </w:rPr>
        <w:footnoteRef/>
      </w:r>
      <w:r>
        <w:t xml:space="preserve"> </w:t>
      </w:r>
      <w:r>
        <w:tab/>
      </w:r>
      <w:r w:rsidRPr="003A30B6">
        <w:rPr>
          <w:szCs w:val="30"/>
        </w:rPr>
        <w:t>Pour éviter de rompre le fil de l'analyse, nous ne développerons pas Ici d'a</w:t>
      </w:r>
      <w:r w:rsidRPr="003A30B6">
        <w:rPr>
          <w:szCs w:val="30"/>
        </w:rPr>
        <w:t>r</w:t>
      </w:r>
      <w:r w:rsidRPr="003A30B6">
        <w:rPr>
          <w:szCs w:val="30"/>
        </w:rPr>
        <w:t>guments spécifiques par rapport à ces notions voisines.</w:t>
      </w:r>
    </w:p>
  </w:footnote>
  <w:footnote w:id="5">
    <w:p w:rsidR="003F0EA0" w:rsidRDefault="003F0EA0" w:rsidP="003F0EA0">
      <w:pPr>
        <w:pStyle w:val="Notedebasdepage"/>
      </w:pPr>
      <w:r>
        <w:rPr>
          <w:rStyle w:val="Marquenotebasdepage"/>
        </w:rPr>
        <w:footnoteRef/>
      </w:r>
      <w:r>
        <w:t xml:space="preserve"> </w:t>
      </w:r>
      <w:r>
        <w:tab/>
      </w:r>
      <w:r w:rsidRPr="003A30B6">
        <w:rPr>
          <w:szCs w:val="30"/>
        </w:rPr>
        <w:t xml:space="preserve">Pour une présentation d'ensemble de cette analyse, cf. Robert Boyer » </w:t>
      </w:r>
      <w:r w:rsidRPr="003A30B6">
        <w:rPr>
          <w:i/>
          <w:iCs/>
          <w:szCs w:val="30"/>
        </w:rPr>
        <w:t xml:space="preserve">La théorie de la régulation : une analyse critique. </w:t>
      </w:r>
      <w:r w:rsidRPr="003A30B6">
        <w:rPr>
          <w:szCs w:val="30"/>
        </w:rPr>
        <w:t>Paris. La Découverte, 1987.</w:t>
      </w:r>
    </w:p>
  </w:footnote>
  <w:footnote w:id="6">
    <w:p w:rsidR="003F0EA0" w:rsidRDefault="003F0EA0" w:rsidP="003F0EA0">
      <w:pPr>
        <w:pStyle w:val="Notedebasdepage"/>
      </w:pPr>
      <w:r>
        <w:rPr>
          <w:rStyle w:val="Marquenotebasdepage"/>
        </w:rPr>
        <w:footnoteRef/>
      </w:r>
      <w:r>
        <w:t xml:space="preserve"> </w:t>
      </w:r>
      <w:r>
        <w:tab/>
      </w:r>
      <w:r w:rsidRPr="003A30B6">
        <w:rPr>
          <w:szCs w:val="30"/>
        </w:rPr>
        <w:t>P</w:t>
      </w:r>
      <w:r>
        <w:rPr>
          <w:szCs w:val="30"/>
        </w:rPr>
        <w:t>o</w:t>
      </w:r>
      <w:r w:rsidRPr="003A30B6">
        <w:rPr>
          <w:szCs w:val="30"/>
        </w:rPr>
        <w:t>ur un développement détaillé et argumenté de cette analyse, nous re</w:t>
      </w:r>
      <w:r w:rsidRPr="003A30B6">
        <w:rPr>
          <w:szCs w:val="30"/>
        </w:rPr>
        <w:t>n</w:t>
      </w:r>
      <w:r w:rsidRPr="003A30B6">
        <w:rPr>
          <w:szCs w:val="30"/>
        </w:rPr>
        <w:t xml:space="preserve">voyons à Alain Bihr, </w:t>
      </w:r>
      <w:r w:rsidRPr="003A30B6">
        <w:rPr>
          <w:i/>
          <w:iCs/>
          <w:szCs w:val="30"/>
        </w:rPr>
        <w:t>Du « Grand Soir »</w:t>
      </w:r>
      <w:r w:rsidRPr="003A30B6">
        <w:rPr>
          <w:szCs w:val="30"/>
        </w:rPr>
        <w:t xml:space="preserve"> à « </w:t>
      </w:r>
      <w:r w:rsidRPr="003A30B6">
        <w:rPr>
          <w:i/>
          <w:iCs/>
          <w:szCs w:val="30"/>
        </w:rPr>
        <w:t>l'alternative »</w:t>
      </w:r>
      <w:r w:rsidRPr="003A30B6">
        <w:rPr>
          <w:szCs w:val="30"/>
        </w:rPr>
        <w:t xml:space="preserve">. </w:t>
      </w:r>
      <w:r w:rsidRPr="003A30B6">
        <w:rPr>
          <w:i/>
          <w:iCs/>
          <w:szCs w:val="30"/>
        </w:rPr>
        <w:t>Le mouvement o</w:t>
      </w:r>
      <w:r w:rsidRPr="003A30B6">
        <w:rPr>
          <w:i/>
          <w:iCs/>
          <w:szCs w:val="30"/>
        </w:rPr>
        <w:t>u</w:t>
      </w:r>
      <w:r w:rsidRPr="003A30B6">
        <w:rPr>
          <w:i/>
          <w:iCs/>
          <w:szCs w:val="30"/>
        </w:rPr>
        <w:t xml:space="preserve">vrier européen en crise. </w:t>
      </w:r>
      <w:r w:rsidRPr="003A30B6">
        <w:rPr>
          <w:szCs w:val="30"/>
        </w:rPr>
        <w:t>Paris. E</w:t>
      </w:r>
      <w:r>
        <w:rPr>
          <w:szCs w:val="30"/>
        </w:rPr>
        <w:t>ditions Ouvrières (Editions de l’</w:t>
      </w:r>
      <w:r w:rsidRPr="003A30B6">
        <w:rPr>
          <w:szCs w:val="30"/>
        </w:rPr>
        <w:t>Atelier), 1991, chapitres II à chapitre V.</w:t>
      </w:r>
    </w:p>
  </w:footnote>
  <w:footnote w:id="7">
    <w:p w:rsidR="003F0EA0" w:rsidRDefault="003F0EA0" w:rsidP="003F0EA0">
      <w:pPr>
        <w:pStyle w:val="Notedebasdepage"/>
      </w:pPr>
      <w:r>
        <w:rPr>
          <w:rStyle w:val="Marquenotebasdepage"/>
        </w:rPr>
        <w:footnoteRef/>
      </w:r>
      <w:r>
        <w:t xml:space="preserve"> </w:t>
      </w:r>
      <w:r>
        <w:tab/>
      </w:r>
      <w:r>
        <w:rPr>
          <w:szCs w:val="30"/>
        </w:rPr>
        <w:t>L’</w:t>
      </w:r>
      <w:r w:rsidRPr="003A30B6">
        <w:rPr>
          <w:szCs w:val="30"/>
        </w:rPr>
        <w:t xml:space="preserve">analyse par Durkheim des conflits autour de l'école et de l'éducation dans </w:t>
      </w:r>
      <w:r w:rsidRPr="003A30B6">
        <w:rPr>
          <w:i/>
          <w:iCs/>
          <w:szCs w:val="30"/>
        </w:rPr>
        <w:t xml:space="preserve">L'évolution pédagogique en France </w:t>
      </w:r>
      <w:r w:rsidRPr="003A30B6">
        <w:rPr>
          <w:szCs w:val="30"/>
        </w:rPr>
        <w:t>(PUF. 1</w:t>
      </w:r>
      <w:r w:rsidRPr="009A285D">
        <w:rPr>
          <w:szCs w:val="30"/>
          <w:vertAlign w:val="superscript"/>
        </w:rPr>
        <w:t>ère</w:t>
      </w:r>
      <w:r>
        <w:rPr>
          <w:szCs w:val="30"/>
        </w:rPr>
        <w:t xml:space="preserve"> </w:t>
      </w:r>
      <w:r w:rsidRPr="003A30B6">
        <w:rPr>
          <w:szCs w:val="30"/>
        </w:rPr>
        <w:t>édition : 1938) fait exception et tranche à cet égard sur le restant de son œuvre.</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EA0" w:rsidRDefault="003F0EA0" w:rsidP="003F0EA0">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12782F">
      <w:rPr>
        <w:rFonts w:ascii="Times New Roman" w:hAnsi="Times New Roman"/>
      </w:rPr>
      <w:t>“</w:t>
    </w:r>
    <w:r>
      <w:rPr>
        <w:rFonts w:ascii="Times New Roman" w:hAnsi="Times New Roman"/>
      </w:rPr>
      <w:t>L’exclusion. Les enjeux idéologiques et théoriques…</w:t>
    </w:r>
    <w:r w:rsidRPr="0012782F">
      <w:rPr>
        <w:rFonts w:ascii="Times New Roman" w:hAnsi="Times New Roman"/>
      </w:rPr>
      <w:t>”</w:t>
    </w:r>
    <w:r w:rsidRPr="00C90835">
      <w:rPr>
        <w:rFonts w:ascii="Times New Roman" w:hAnsi="Times New Roman"/>
      </w:rPr>
      <w:t xml:space="preserve"> </w:t>
    </w:r>
    <w:r>
      <w:rPr>
        <w:rFonts w:ascii="Times New Roman" w:hAnsi="Times New Roman"/>
      </w:rPr>
      <w:t>(2001)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470564">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sidR="00470564">
      <w:rPr>
        <w:rStyle w:val="Numrodepage"/>
        <w:rFonts w:ascii="Times New Roman" w:hAnsi="Times New Roman"/>
        <w:noProof/>
      </w:rPr>
      <w:t>4</w:t>
    </w:r>
    <w:r>
      <w:rPr>
        <w:rStyle w:val="Numrodepage"/>
        <w:rFonts w:ascii="Times New Roman" w:hAnsi="Times New Roman"/>
      </w:rPr>
      <w:fldChar w:fldCharType="end"/>
    </w:r>
  </w:p>
  <w:p w:rsidR="003F0EA0" w:rsidRDefault="003F0EA0">
    <w:pPr>
      <w:pBdr>
        <w:top w:val="single" w:sz="4" w:space="1" w:color="auto"/>
      </w:pBdr>
      <w:spacing w:before="60"/>
      <w:rPr>
        <w:rStyle w:val="Numrodepage"/>
        <w:rFonts w:ascii="GillSans" w:hAnsi="GillSans"/>
        <w:sz w:val="20"/>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5E0F"/>
    <w:multiLevelType w:val="multilevel"/>
    <w:tmpl w:val="4DB0E628"/>
    <w:lvl w:ilvl="0">
      <w:start w:val="2"/>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138D1"/>
    <w:multiLevelType w:val="multilevel"/>
    <w:tmpl w:val="B2643CF4"/>
    <w:lvl w:ilvl="0">
      <w:start w:val="1"/>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220D6F"/>
    <w:multiLevelType w:val="multilevel"/>
    <w:tmpl w:val="314A6B78"/>
    <w:lvl w:ilvl="0">
      <w:start w:val="1"/>
      <w:numFmt w:val="upperLetter"/>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7F7CC4"/>
    <w:multiLevelType w:val="multilevel"/>
    <w:tmpl w:val="5F42C9CC"/>
    <w:lvl w:ilvl="0">
      <w:start w:val="5"/>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C338FF"/>
    <w:multiLevelType w:val="multilevel"/>
    <w:tmpl w:val="940E4910"/>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0263F3"/>
    <w:multiLevelType w:val="multilevel"/>
    <w:tmpl w:val="50D2DA94"/>
    <w:lvl w:ilvl="0">
      <w:start w:val="3"/>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B551E1"/>
    <w:multiLevelType w:val="multilevel"/>
    <w:tmpl w:val="DE40F5E6"/>
    <w:lvl w:ilvl="0">
      <w:start w:val="3"/>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8E0E84"/>
    <w:multiLevelType w:val="multilevel"/>
    <w:tmpl w:val="1D2CA2D2"/>
    <w:lvl w:ilvl="0">
      <w:start w:val="1"/>
      <w:numFmt w:val="lowerLetter"/>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F43706"/>
    <w:multiLevelType w:val="multilevel"/>
    <w:tmpl w:val="47DAD270"/>
    <w:lvl w:ilvl="0">
      <w:start w:val="1"/>
      <w:numFmt w:val="bullet"/>
      <w:lvlText w:val="-"/>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965290"/>
    <w:multiLevelType w:val="multilevel"/>
    <w:tmpl w:val="709231D0"/>
    <w:lvl w:ilvl="0">
      <w:start w:val="1"/>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9F5521"/>
    <w:multiLevelType w:val="multilevel"/>
    <w:tmpl w:val="3CE22158"/>
    <w:lvl w:ilvl="0">
      <w:start w:val="1"/>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8548D8"/>
    <w:multiLevelType w:val="multilevel"/>
    <w:tmpl w:val="7C7AEB50"/>
    <w:lvl w:ilvl="0">
      <w:start w:val="11"/>
      <w:numFmt w:val="decimal"/>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3939E2"/>
    <w:multiLevelType w:val="multilevel"/>
    <w:tmpl w:val="88CA30FC"/>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C32B2C"/>
    <w:multiLevelType w:val="multilevel"/>
    <w:tmpl w:val="DD8CFF0C"/>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B870BC"/>
    <w:multiLevelType w:val="multilevel"/>
    <w:tmpl w:val="50AE865C"/>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ECB0F77"/>
    <w:multiLevelType w:val="multilevel"/>
    <w:tmpl w:val="DCE86AB4"/>
    <w:lvl w:ilvl="0">
      <w:start w:val="1"/>
      <w:numFmt w:val="low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745C52"/>
    <w:multiLevelType w:val="multilevel"/>
    <w:tmpl w:val="FACE65FE"/>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71171F"/>
    <w:multiLevelType w:val="multilevel"/>
    <w:tmpl w:val="6AEE97E0"/>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F546C4"/>
    <w:multiLevelType w:val="singleLevel"/>
    <w:tmpl w:val="0AC8F120"/>
    <w:lvl w:ilvl="0">
      <w:start w:val="1"/>
      <w:numFmt w:val="decimal"/>
      <w:lvlText w:val="%1."/>
      <w:legacy w:legacy="1" w:legacySpace="0" w:legacyIndent="400"/>
      <w:lvlJc w:val="left"/>
      <w:rPr>
        <w:rFonts w:ascii="Times New Roman" w:hAnsi="Times New Roman" w:hint="default"/>
      </w:rPr>
    </w:lvl>
  </w:abstractNum>
  <w:abstractNum w:abstractNumId="19">
    <w:nsid w:val="5DE551AD"/>
    <w:multiLevelType w:val="multilevel"/>
    <w:tmpl w:val="23D05EB0"/>
    <w:lvl w:ilvl="0">
      <w:start w:val="1"/>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85122C"/>
    <w:multiLevelType w:val="multilevel"/>
    <w:tmpl w:val="C07ABF1A"/>
    <w:lvl w:ilvl="0">
      <w:start w:val="2"/>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00B29F8"/>
    <w:multiLevelType w:val="singleLevel"/>
    <w:tmpl w:val="8716EE42"/>
    <w:lvl w:ilvl="0">
      <w:start w:val="4"/>
      <w:numFmt w:val="decimal"/>
      <w:lvlText w:val="%1"/>
      <w:legacy w:legacy="1" w:legacySpace="0" w:legacyIndent="380"/>
      <w:lvlJc w:val="left"/>
      <w:rPr>
        <w:rFonts w:ascii="Times New Roman" w:hAnsi="Times New Roman" w:hint="default"/>
      </w:rPr>
    </w:lvl>
  </w:abstractNum>
  <w:abstractNum w:abstractNumId="22">
    <w:nsid w:val="75CA21F8"/>
    <w:multiLevelType w:val="multilevel"/>
    <w:tmpl w:val="B978A016"/>
    <w:lvl w:ilvl="0">
      <w:start w:val="3"/>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971B2A"/>
    <w:multiLevelType w:val="multilevel"/>
    <w:tmpl w:val="B9FA3954"/>
    <w:lvl w:ilvl="0">
      <w:start w:val="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22"/>
  </w:num>
  <w:num w:numId="4">
    <w:abstractNumId w:val="3"/>
  </w:num>
  <w:num w:numId="5">
    <w:abstractNumId w:val="8"/>
  </w:num>
  <w:num w:numId="6">
    <w:abstractNumId w:val="14"/>
  </w:num>
  <w:num w:numId="7">
    <w:abstractNumId w:val="20"/>
  </w:num>
  <w:num w:numId="8">
    <w:abstractNumId w:val="19"/>
  </w:num>
  <w:num w:numId="9">
    <w:abstractNumId w:val="0"/>
  </w:num>
  <w:num w:numId="10">
    <w:abstractNumId w:val="1"/>
  </w:num>
  <w:num w:numId="11">
    <w:abstractNumId w:val="17"/>
  </w:num>
  <w:num w:numId="12">
    <w:abstractNumId w:val="23"/>
  </w:num>
  <w:num w:numId="13">
    <w:abstractNumId w:val="16"/>
  </w:num>
  <w:num w:numId="14">
    <w:abstractNumId w:val="6"/>
  </w:num>
  <w:num w:numId="15">
    <w:abstractNumId w:val="4"/>
  </w:num>
  <w:num w:numId="16">
    <w:abstractNumId w:val="12"/>
  </w:num>
  <w:num w:numId="17">
    <w:abstractNumId w:val="15"/>
  </w:num>
  <w:num w:numId="18">
    <w:abstractNumId w:val="5"/>
  </w:num>
  <w:num w:numId="19">
    <w:abstractNumId w:val="2"/>
  </w:num>
  <w:num w:numId="20">
    <w:abstractNumId w:val="10"/>
  </w:num>
  <w:num w:numId="21">
    <w:abstractNumId w:val="13"/>
  </w:num>
  <w:num w:numId="22">
    <w:abstractNumId w:val="7"/>
  </w:num>
  <w:num w:numId="23">
    <w:abstractNumId w:val="18"/>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25153"/>
    <w:rsid w:val="003F0EA0"/>
    <w:rsid w:val="00470564"/>
    <w:rsid w:val="00B77B21"/>
  </w:rsids>
  <m:mathPr>
    <m:mathFont m:val="Century Schoolbook"/>
    <m:brkBin m:val="before"/>
    <m:brkBinSub m:val="--"/>
    <m:smallFrac/>
    <m:dispDe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276"/>
  <w:style w:type="paragraph" w:default="1" w:styleId="Normal">
    <w:name w:val="Normal"/>
    <w:qFormat/>
    <w:rsid w:val="006614FD"/>
    <w:pPr>
      <w:ind w:firstLine="360"/>
    </w:pPr>
    <w:rPr>
      <w:rFonts w:ascii="Times New Roman" w:eastAsia="Times New Roman" w:hAnsi="Times New Roman"/>
      <w:sz w:val="28"/>
      <w:lang w:val="fr-CA" w:eastAsia="en-US"/>
    </w:rPr>
  </w:style>
  <w:style w:type="paragraph" w:styleId="Titre1">
    <w:name w:val="heading 1"/>
    <w:next w:val="Normal"/>
    <w:link w:val="Titre1Car"/>
    <w:qFormat/>
    <w:rsid w:val="006614FD"/>
    <w:pPr>
      <w:outlineLvl w:val="0"/>
    </w:pPr>
    <w:rPr>
      <w:rFonts w:eastAsia="Times New Roman"/>
      <w:noProof/>
      <w:lang w:val="fr-CA" w:eastAsia="en-US"/>
    </w:rPr>
  </w:style>
  <w:style w:type="paragraph" w:styleId="Titre2">
    <w:name w:val="heading 2"/>
    <w:next w:val="Normal"/>
    <w:link w:val="Titre2Car"/>
    <w:qFormat/>
    <w:rsid w:val="006614FD"/>
    <w:pPr>
      <w:outlineLvl w:val="1"/>
    </w:pPr>
    <w:rPr>
      <w:rFonts w:eastAsia="Times New Roman"/>
      <w:noProof/>
      <w:lang w:val="fr-CA" w:eastAsia="en-US"/>
    </w:rPr>
  </w:style>
  <w:style w:type="paragraph" w:styleId="Titre3">
    <w:name w:val="heading 3"/>
    <w:next w:val="Normal"/>
    <w:link w:val="Titre3Car"/>
    <w:qFormat/>
    <w:rsid w:val="006614FD"/>
    <w:pPr>
      <w:outlineLvl w:val="2"/>
    </w:pPr>
    <w:rPr>
      <w:rFonts w:eastAsia="Times New Roman"/>
      <w:noProof/>
      <w:lang w:val="fr-CA" w:eastAsia="en-US"/>
    </w:rPr>
  </w:style>
  <w:style w:type="paragraph" w:styleId="Titre4">
    <w:name w:val="heading 4"/>
    <w:next w:val="Normal"/>
    <w:link w:val="Titre4Car"/>
    <w:qFormat/>
    <w:rsid w:val="006614FD"/>
    <w:pPr>
      <w:outlineLvl w:val="3"/>
    </w:pPr>
    <w:rPr>
      <w:rFonts w:eastAsia="Times New Roman"/>
      <w:noProof/>
      <w:lang w:val="fr-CA" w:eastAsia="en-US"/>
    </w:rPr>
  </w:style>
  <w:style w:type="paragraph" w:styleId="Titre5">
    <w:name w:val="heading 5"/>
    <w:next w:val="Normal"/>
    <w:link w:val="Titre5Car"/>
    <w:qFormat/>
    <w:rsid w:val="006614FD"/>
    <w:pPr>
      <w:outlineLvl w:val="4"/>
    </w:pPr>
    <w:rPr>
      <w:rFonts w:eastAsia="Times New Roman"/>
      <w:noProof/>
      <w:lang w:val="fr-CA" w:eastAsia="en-US"/>
    </w:rPr>
  </w:style>
  <w:style w:type="paragraph" w:styleId="Titre6">
    <w:name w:val="heading 6"/>
    <w:next w:val="Normal"/>
    <w:link w:val="Titre6Car"/>
    <w:qFormat/>
    <w:rsid w:val="006614FD"/>
    <w:pPr>
      <w:outlineLvl w:val="5"/>
    </w:pPr>
    <w:rPr>
      <w:rFonts w:eastAsia="Times New Roman"/>
      <w:noProof/>
      <w:lang w:val="fr-CA" w:eastAsia="en-US"/>
    </w:rPr>
  </w:style>
  <w:style w:type="paragraph" w:styleId="Titre7">
    <w:name w:val="heading 7"/>
    <w:next w:val="Normal"/>
    <w:link w:val="Titre7Car"/>
    <w:qFormat/>
    <w:rsid w:val="006614FD"/>
    <w:pPr>
      <w:outlineLvl w:val="6"/>
    </w:pPr>
    <w:rPr>
      <w:rFonts w:eastAsia="Times New Roman"/>
      <w:noProof/>
      <w:lang w:val="fr-CA" w:eastAsia="en-US"/>
    </w:rPr>
  </w:style>
  <w:style w:type="paragraph" w:styleId="Titre8">
    <w:name w:val="heading 8"/>
    <w:next w:val="Normal"/>
    <w:link w:val="Titre8Car"/>
    <w:qFormat/>
    <w:rsid w:val="006614FD"/>
    <w:pPr>
      <w:outlineLvl w:val="7"/>
    </w:pPr>
    <w:rPr>
      <w:rFonts w:eastAsia="Times New Roman"/>
      <w:noProof/>
      <w:lang w:val="fr-CA" w:eastAsia="en-US"/>
    </w:rPr>
  </w:style>
  <w:style w:type="paragraph" w:styleId="Titre9">
    <w:name w:val="heading 9"/>
    <w:next w:val="Normal"/>
    <w:link w:val="Titre9Car"/>
    <w:qFormat/>
    <w:rsid w:val="006614FD"/>
    <w:pPr>
      <w:outlineLvl w:val="8"/>
    </w:pPr>
    <w:rPr>
      <w:rFonts w:eastAsia="Times New Roman"/>
      <w:noProof/>
      <w:lang w:val="fr-CA"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Marquedenotedefin">
    <w:name w:val="endnote reference"/>
    <w:basedOn w:val="Policepardfaut"/>
    <w:rsid w:val="006614FD"/>
    <w:rPr>
      <w:vertAlign w:val="superscript"/>
    </w:rPr>
  </w:style>
  <w:style w:type="character" w:styleId="Marquenotebasdepage">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7150EF"/>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EE256B"/>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9C23DC"/>
    <w:rPr>
      <w:b w:val="0"/>
      <w:sz w:val="56"/>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
    <w:name w:val="Table Grid"/>
    <w:basedOn w:val="TableauNormal"/>
    <w:uiPriority w:val="99"/>
    <w:rsid w:val="006614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iCs/>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iCs/>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iCs/>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bCs/>
      <w:i/>
      <w:iCs/>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bCs/>
      <w:i/>
      <w:iCs/>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EE256B"/>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iCs/>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bCs/>
      <w:i/>
      <w:iCs/>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iCs/>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val="0"/>
      <w:iCs w:val="0"/>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bCs/>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bCs/>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bCs/>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paragraph" w:customStyle="1" w:styleId="Titlestcouleur">
    <w:name w:val="Title_st couleur"/>
    <w:basedOn w:val="Titlest"/>
    <w:autoRedefine/>
    <w:rsid w:val="007150EF"/>
    <w:rPr>
      <w:color w:val="FF0000"/>
    </w:rPr>
  </w:style>
  <w:style w:type="paragraph" w:styleId="Bibliographie">
    <w:name w:val="Bibliography"/>
    <w:basedOn w:val="Normal"/>
    <w:rsid w:val="00EE256B"/>
    <w:pPr>
      <w:ind w:left="360" w:hanging="360"/>
    </w:pPr>
    <w:rPr>
      <w:sz w:val="20"/>
    </w:rPr>
  </w:style>
  <w:style w:type="paragraph" w:styleId="Citation">
    <w:name w:val="Quote"/>
    <w:basedOn w:val="Normal"/>
    <w:link w:val="CitationCar"/>
    <w:autoRedefine/>
    <w:rsid w:val="00EE256B"/>
    <w:pPr>
      <w:spacing w:before="120" w:after="120" w:line="320" w:lineRule="exact"/>
      <w:ind w:left="720"/>
      <w:jc w:val="both"/>
    </w:pPr>
    <w:rPr>
      <w:color w:val="000080"/>
    </w:rPr>
  </w:style>
  <w:style w:type="character" w:customStyle="1" w:styleId="CitationCar">
    <w:name w:val="Citation Car"/>
    <w:basedOn w:val="Policepardfaut"/>
    <w:link w:val="Citation"/>
    <w:rsid w:val="00EE256B"/>
    <w:rPr>
      <w:rFonts w:ascii="Times New Roman" w:eastAsia="Times New Roman" w:hAnsi="Times New Roman"/>
      <w:color w:val="000080"/>
      <w:sz w:val="28"/>
      <w:lang w:val="fr-CA" w:eastAsia="en-US"/>
    </w:rPr>
  </w:style>
  <w:style w:type="paragraph" w:customStyle="1" w:styleId="Titreniveau2bis">
    <w:name w:val="Titre niveau 2 bis"/>
    <w:basedOn w:val="Titreniveau2"/>
    <w:rsid w:val="00EE256B"/>
    <w:pPr>
      <w:spacing w:before="0"/>
    </w:pPr>
    <w:rPr>
      <w:sz w:val="72"/>
    </w:rPr>
  </w:style>
  <w:style w:type="paragraph" w:customStyle="1" w:styleId="figtitrest">
    <w:name w:val="fig titre st"/>
    <w:basedOn w:val="fig"/>
    <w:autoRedefine/>
    <w:rsid w:val="00EE256B"/>
    <w:rPr>
      <w:color w:val="0000FF"/>
      <w:sz w:val="24"/>
    </w:rPr>
  </w:style>
  <w:style w:type="paragraph" w:customStyle="1" w:styleId="figst0">
    <w:name w:val="fig st 0"/>
    <w:basedOn w:val="figst"/>
    <w:autoRedefine/>
    <w:rsid w:val="00EE256B"/>
    <w:pPr>
      <w:jc w:val="both"/>
    </w:pPr>
  </w:style>
</w:styles>
</file>

<file path=word/webSettings.xml><?xml version="1.0" encoding="utf-8"?>
<w:webSettings xmlns:r="http://schemas.openxmlformats.org/officeDocument/2006/relationships" xmlns:w="http://schemas.openxmlformats.org/wordprocessingml/2006/main">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lassiques.uqac.ca/" TargetMode="External"/><Relationship Id="rId20" Type="http://schemas.openxmlformats.org/officeDocument/2006/relationships/image" Target="media/image5.png"/><Relationship Id="rId21" Type="http://schemas.openxmlformats.org/officeDocument/2006/relationships/image" Target="media/image6.jpeg"/><Relationship Id="rId22" Type="http://schemas.openxmlformats.org/officeDocument/2006/relationships/image" Target="media/image7.jpeg"/><Relationship Id="rId23" Type="http://schemas.openxmlformats.org/officeDocument/2006/relationships/header" Target="head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png"/><Relationship Id="rId12" Type="http://schemas.openxmlformats.org/officeDocument/2006/relationships/hyperlink" Target="http://bibliotheque.uqac.ca/" TargetMode="External"/><Relationship Id="rId13" Type="http://schemas.openxmlformats.org/officeDocument/2006/relationships/hyperlink" Target="https://uqam.ca/" TargetMode="External"/><Relationship Id="rId14" Type="http://schemas.openxmlformats.org/officeDocument/2006/relationships/hyperlink" Target="mailto:classiques.sc.soc@gmail.com" TargetMode="External"/><Relationship Id="rId15" Type="http://schemas.openxmlformats.org/officeDocument/2006/relationships/hyperlink" Target="http://jmt-sociologue.uqac.ca/" TargetMode="External"/><Relationship Id="rId16" Type="http://schemas.openxmlformats.org/officeDocument/2006/relationships/image" Target="media/image4.png"/><Relationship Id="rId17" Type="http://schemas.openxmlformats.org/officeDocument/2006/relationships/hyperlink" Target="mailto:pfefferkroland@aol.com" TargetMode="External"/><Relationship Id="rId18" Type="http://schemas.openxmlformats.org/officeDocument/2006/relationships/hyperlink" Target="mailto:Roland.Pfefferkorn@unistra.fr" TargetMode="External"/><Relationship Id="rId19" Type="http://schemas.openxmlformats.org/officeDocument/2006/relationships/hyperlink" Target="mailto:alainbihr09@gmail.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lassiques.uqam.ca/" TargetMode="Externa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5397</Words>
  <Characters>30768</Characters>
  <Application>Microsoft Macintosh Word</Application>
  <DocSecurity>0</DocSecurity>
  <Lines>256</Lines>
  <Paragraphs>61</Paragraphs>
  <ScaleCrop>false</ScaleCrop>
  <HeadingPairs>
    <vt:vector size="2" baseType="variant">
      <vt:variant>
        <vt:lpstr>Title</vt:lpstr>
      </vt:variant>
      <vt:variant>
        <vt:i4>1</vt:i4>
      </vt:variant>
    </vt:vector>
  </HeadingPairs>
  <TitlesOfParts>
    <vt:vector size="1" baseType="lpstr">
      <vt:lpstr>“L’EXCLUSION. Les enjeux idéologiques et théoriques « d’un nouveau paradigme sociologique.”</vt:lpstr>
    </vt:vector>
  </TitlesOfParts>
  <Manager>par Jean-Marie Tremblay, bénévole, 2024.</Manager>
  <Company>Les Classiques des sciences sociales</Company>
  <LinksUpToDate>false</LinksUpToDate>
  <CharactersWithSpaces>37785</CharactersWithSpaces>
  <SharedDoc>false</SharedDoc>
  <HyperlinkBase/>
  <HLinks>
    <vt:vector size="162" baseType="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3997725</vt:i4>
      </vt:variant>
      <vt:variant>
        <vt:i4>48</vt:i4>
      </vt:variant>
      <vt:variant>
        <vt:i4>0</vt:i4>
      </vt:variant>
      <vt:variant>
        <vt:i4>5</vt:i4>
      </vt:variant>
      <vt:variant>
        <vt:lpwstr/>
      </vt:variant>
      <vt:variant>
        <vt:lpwstr>Exclusion_biblio</vt:lpwstr>
      </vt:variant>
      <vt:variant>
        <vt:i4>786498</vt:i4>
      </vt:variant>
      <vt:variant>
        <vt:i4>45</vt:i4>
      </vt:variant>
      <vt:variant>
        <vt:i4>0</vt:i4>
      </vt:variant>
      <vt:variant>
        <vt:i4>5</vt:i4>
      </vt:variant>
      <vt:variant>
        <vt:lpwstr/>
      </vt:variant>
      <vt:variant>
        <vt:lpwstr>Exclusion_II_2</vt:lpwstr>
      </vt:variant>
      <vt:variant>
        <vt:i4>983106</vt:i4>
      </vt:variant>
      <vt:variant>
        <vt:i4>42</vt:i4>
      </vt:variant>
      <vt:variant>
        <vt:i4>0</vt:i4>
      </vt:variant>
      <vt:variant>
        <vt:i4>5</vt:i4>
      </vt:variant>
      <vt:variant>
        <vt:lpwstr/>
      </vt:variant>
      <vt:variant>
        <vt:lpwstr>Exclusion_II_1</vt:lpwstr>
      </vt:variant>
      <vt:variant>
        <vt:i4>4063261</vt:i4>
      </vt:variant>
      <vt:variant>
        <vt:i4>39</vt:i4>
      </vt:variant>
      <vt:variant>
        <vt:i4>0</vt:i4>
      </vt:variant>
      <vt:variant>
        <vt:i4>5</vt:i4>
      </vt:variant>
      <vt:variant>
        <vt:lpwstr/>
      </vt:variant>
      <vt:variant>
        <vt:lpwstr>Exclusion_II</vt:lpwstr>
      </vt:variant>
      <vt:variant>
        <vt:i4>524335</vt:i4>
      </vt:variant>
      <vt:variant>
        <vt:i4>36</vt:i4>
      </vt:variant>
      <vt:variant>
        <vt:i4>0</vt:i4>
      </vt:variant>
      <vt:variant>
        <vt:i4>5</vt:i4>
      </vt:variant>
      <vt:variant>
        <vt:lpwstr/>
      </vt:variant>
      <vt:variant>
        <vt:lpwstr>Exclusion_I_2</vt:lpwstr>
      </vt:variant>
      <vt:variant>
        <vt:i4>524332</vt:i4>
      </vt:variant>
      <vt:variant>
        <vt:i4>33</vt:i4>
      </vt:variant>
      <vt:variant>
        <vt:i4>0</vt:i4>
      </vt:variant>
      <vt:variant>
        <vt:i4>5</vt:i4>
      </vt:variant>
      <vt:variant>
        <vt:lpwstr/>
      </vt:variant>
      <vt:variant>
        <vt:lpwstr>Exclusion_I_1</vt:lpwstr>
      </vt:variant>
      <vt:variant>
        <vt:i4>5701661</vt:i4>
      </vt:variant>
      <vt:variant>
        <vt:i4>30</vt:i4>
      </vt:variant>
      <vt:variant>
        <vt:i4>0</vt:i4>
      </vt:variant>
      <vt:variant>
        <vt:i4>5</vt:i4>
      </vt:variant>
      <vt:variant>
        <vt:lpwstr/>
      </vt:variant>
      <vt:variant>
        <vt:lpwstr>Exclusion_I</vt:lpwstr>
      </vt:variant>
      <vt:variant>
        <vt:i4>4915206</vt:i4>
      </vt:variant>
      <vt:variant>
        <vt:i4>27</vt:i4>
      </vt:variant>
      <vt:variant>
        <vt:i4>0</vt:i4>
      </vt:variant>
      <vt:variant>
        <vt:i4>5</vt:i4>
      </vt:variant>
      <vt:variant>
        <vt:lpwstr/>
      </vt:variant>
      <vt:variant>
        <vt:lpwstr>Exclusion_intro</vt:lpwstr>
      </vt:variant>
      <vt:variant>
        <vt:i4>4849776</vt:i4>
      </vt:variant>
      <vt:variant>
        <vt:i4>24</vt:i4>
      </vt:variant>
      <vt:variant>
        <vt:i4>0</vt:i4>
      </vt:variant>
      <vt:variant>
        <vt:i4>5</vt:i4>
      </vt:variant>
      <vt:variant>
        <vt:lpwstr>mailto:alainbihr09@gmail.com</vt:lpwstr>
      </vt:variant>
      <vt:variant>
        <vt:lpwstr/>
      </vt:variant>
      <vt:variant>
        <vt:i4>3342415</vt:i4>
      </vt:variant>
      <vt:variant>
        <vt:i4>21</vt:i4>
      </vt:variant>
      <vt:variant>
        <vt:i4>0</vt:i4>
      </vt:variant>
      <vt:variant>
        <vt:i4>5</vt:i4>
      </vt:variant>
      <vt:variant>
        <vt:lpwstr>mailto:Roland.Pfefferkorn@unistra.fr</vt:lpwstr>
      </vt:variant>
      <vt:variant>
        <vt:lpwstr/>
      </vt:variant>
      <vt:variant>
        <vt:i4>8192045</vt:i4>
      </vt:variant>
      <vt:variant>
        <vt:i4>18</vt:i4>
      </vt:variant>
      <vt:variant>
        <vt:i4>0</vt:i4>
      </vt:variant>
      <vt:variant>
        <vt:i4>5</vt:i4>
      </vt:variant>
      <vt:variant>
        <vt:lpwstr>mailto:pfefferkroland@aol.com</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2604</vt:i4>
      </vt:variant>
      <vt:variant>
        <vt:i4>1025</vt:i4>
      </vt:variant>
      <vt:variant>
        <vt:i4>1</vt:i4>
      </vt:variant>
      <vt:variant>
        <vt:lpwstr>css_logo_gris</vt:lpwstr>
      </vt:variant>
      <vt:variant>
        <vt:lpwstr/>
      </vt:variant>
      <vt:variant>
        <vt:i4>5111880</vt:i4>
      </vt:variant>
      <vt:variant>
        <vt:i4>2933</vt:i4>
      </vt:variant>
      <vt:variant>
        <vt:i4>1026</vt:i4>
      </vt:variant>
      <vt:variant>
        <vt:i4>1</vt:i4>
      </vt:variant>
      <vt:variant>
        <vt:lpwstr>UQAC_logo_2018</vt:lpwstr>
      </vt:variant>
      <vt:variant>
        <vt:lpwstr/>
      </vt:variant>
      <vt:variant>
        <vt:i4>1507403</vt:i4>
      </vt:variant>
      <vt:variant>
        <vt:i4>2935</vt:i4>
      </vt:variant>
      <vt:variant>
        <vt:i4>1027</vt:i4>
      </vt:variant>
      <vt:variant>
        <vt:i4>1</vt:i4>
      </vt:variant>
      <vt:variant>
        <vt:lpwstr>UQAM_logo</vt:lpwstr>
      </vt:variant>
      <vt:variant>
        <vt:lpwstr/>
      </vt:variant>
      <vt:variant>
        <vt:i4>5701656</vt:i4>
      </vt:variant>
      <vt:variant>
        <vt:i4>6476</vt:i4>
      </vt:variant>
      <vt:variant>
        <vt:i4>1031</vt:i4>
      </vt:variant>
      <vt:variant>
        <vt:i4>1</vt:i4>
      </vt:variant>
      <vt:variant>
        <vt:lpwstr>Exclusion_L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“L’EXCLUSION. Les enjeux idéologiques et théoriques « d’un nouveau paradigme sociologique.”</dc:title>
  <dc:subject/>
  <dc:creator>Alaiin Bihr et Roland Pfefferkorn, 2001</dc:creator>
  <cp:keywords>classiques.sc.soc@gmail.com</cp:keywords>
  <dc:description>http://classiques.uqac.ca/</dc:description>
  <cp:lastModifiedBy>jean-marie tremblay</cp:lastModifiedBy>
  <cp:revision>2</cp:revision>
  <cp:lastPrinted>2001-08-26T19:33:00Z</cp:lastPrinted>
  <dcterms:created xsi:type="dcterms:W3CDTF">2025-04-19T14:49:00Z</dcterms:created>
  <dcterms:modified xsi:type="dcterms:W3CDTF">2025-04-19T14:49:00Z</dcterms:modified>
  <cp:category>jean-marie tremblay, sociologue, fondateur, 1993.</cp:category>
</cp:coreProperties>
</file>