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2775D9" w14:paraId="34A1FC69" w14:textId="77777777">
        <w:tblPrEx>
          <w:tblCellMar>
            <w:top w:w="0" w:type="dxa"/>
            <w:bottom w:w="0" w:type="dxa"/>
          </w:tblCellMar>
        </w:tblPrEx>
        <w:tc>
          <w:tcPr>
            <w:tcW w:w="9160" w:type="dxa"/>
            <w:shd w:val="clear" w:color="auto" w:fill="F2EED5"/>
          </w:tcPr>
          <w:p w14:paraId="57868DB4" w14:textId="77777777" w:rsidR="002775D9" w:rsidRDefault="002775D9">
            <w:pPr>
              <w:ind w:firstLine="0"/>
              <w:jc w:val="center"/>
              <w:rPr>
                <w:sz w:val="20"/>
                <w:lang w:bidi="ar-SA"/>
              </w:rPr>
            </w:pPr>
          </w:p>
          <w:p w14:paraId="5FF72315" w14:textId="77777777" w:rsidR="002775D9" w:rsidRDefault="002775D9">
            <w:pPr>
              <w:ind w:firstLine="0"/>
              <w:jc w:val="center"/>
              <w:rPr>
                <w:color w:val="FF0000"/>
                <w:sz w:val="20"/>
                <w:lang w:bidi="ar-SA"/>
              </w:rPr>
            </w:pPr>
          </w:p>
          <w:p w14:paraId="2709BDAA" w14:textId="77777777" w:rsidR="002775D9" w:rsidRDefault="002775D9">
            <w:pPr>
              <w:ind w:firstLine="0"/>
              <w:jc w:val="center"/>
              <w:rPr>
                <w:color w:val="FF0000"/>
                <w:sz w:val="20"/>
                <w:lang w:bidi="ar-SA"/>
              </w:rPr>
            </w:pPr>
          </w:p>
          <w:p w14:paraId="3BBDDEDA" w14:textId="77777777" w:rsidR="002775D9" w:rsidRDefault="002775D9">
            <w:pPr>
              <w:ind w:firstLine="0"/>
              <w:jc w:val="center"/>
              <w:rPr>
                <w:b/>
                <w:sz w:val="20"/>
                <w:lang w:bidi="ar-SA"/>
              </w:rPr>
            </w:pPr>
          </w:p>
          <w:p w14:paraId="7E1B1E98" w14:textId="77777777" w:rsidR="002775D9" w:rsidRDefault="002775D9">
            <w:pPr>
              <w:ind w:firstLine="0"/>
              <w:jc w:val="center"/>
              <w:rPr>
                <w:sz w:val="20"/>
                <w:lang w:bidi="ar-SA"/>
              </w:rPr>
            </w:pPr>
          </w:p>
          <w:p w14:paraId="71719F68" w14:textId="77777777" w:rsidR="002775D9" w:rsidRDefault="002775D9">
            <w:pPr>
              <w:pStyle w:val="Corpsdetexte"/>
              <w:widowControl w:val="0"/>
              <w:spacing w:before="0" w:after="0"/>
              <w:rPr>
                <w:color w:val="FF0000"/>
                <w:sz w:val="24"/>
                <w:lang w:bidi="ar-SA"/>
              </w:rPr>
            </w:pPr>
          </w:p>
          <w:p w14:paraId="2EFD5217" w14:textId="77777777" w:rsidR="002775D9" w:rsidRPr="00852A50" w:rsidRDefault="002775D9" w:rsidP="002775D9">
            <w:pPr>
              <w:ind w:firstLine="0"/>
              <w:jc w:val="center"/>
              <w:rPr>
                <w:color w:val="FF0000"/>
                <w:sz w:val="36"/>
                <w:lang w:bidi="ar-SA"/>
              </w:rPr>
            </w:pPr>
            <w:r w:rsidRPr="00852A50">
              <w:rPr>
                <w:sz w:val="36"/>
                <w:lang w:bidi="ar-SA"/>
              </w:rPr>
              <w:t>Yves BÉLANGER et Pierre BEAULNE</w:t>
            </w:r>
          </w:p>
          <w:p w14:paraId="47431931" w14:textId="77777777" w:rsidR="002775D9" w:rsidRDefault="002775D9" w:rsidP="002775D9">
            <w:pPr>
              <w:ind w:firstLine="0"/>
              <w:jc w:val="center"/>
            </w:pPr>
          </w:p>
          <w:tbl>
            <w:tblPr>
              <w:tblW w:w="0" w:type="auto"/>
              <w:tblInd w:w="470" w:type="dxa"/>
              <w:tblLook w:val="00BF" w:firstRow="1" w:lastRow="0" w:firstColumn="1" w:lastColumn="0" w:noHBand="0" w:noVBand="0"/>
            </w:tblPr>
            <w:tblGrid>
              <w:gridCol w:w="3795"/>
              <w:gridCol w:w="3795"/>
            </w:tblGrid>
            <w:tr w:rsidR="002775D9" w14:paraId="4AF642C3" w14:textId="77777777">
              <w:tc>
                <w:tcPr>
                  <w:tcW w:w="3795" w:type="dxa"/>
                </w:tcPr>
                <w:p w14:paraId="742A48A9" w14:textId="77777777" w:rsidR="002775D9" w:rsidRDefault="002775D9" w:rsidP="002775D9">
                  <w:pPr>
                    <w:spacing w:before="120" w:after="120"/>
                    <w:ind w:firstLine="0"/>
                    <w:jc w:val="center"/>
                  </w:pPr>
                  <w:r w:rsidRPr="00AD690E">
                    <w:rPr>
                      <w:sz w:val="24"/>
                      <w:szCs w:val="22"/>
                    </w:rPr>
                    <w:t>Département de science politique</w:t>
                  </w:r>
                  <w:r w:rsidRPr="00AD690E">
                    <w:rPr>
                      <w:sz w:val="24"/>
                      <w:szCs w:val="22"/>
                    </w:rPr>
                    <w:br/>
                    <w:t>Un</w:t>
                  </w:r>
                  <w:r w:rsidRPr="00AD690E">
                    <w:rPr>
                      <w:sz w:val="24"/>
                      <w:szCs w:val="22"/>
                    </w:rPr>
                    <w:t>i</w:t>
                  </w:r>
                  <w:r w:rsidRPr="00AD690E">
                    <w:rPr>
                      <w:sz w:val="24"/>
                      <w:szCs w:val="22"/>
                    </w:rPr>
                    <w:t>versité du Québec à Montréal</w:t>
                  </w:r>
                </w:p>
              </w:tc>
              <w:tc>
                <w:tcPr>
                  <w:tcW w:w="3795" w:type="dxa"/>
                </w:tcPr>
                <w:p w14:paraId="15326FC3" w14:textId="77777777" w:rsidR="002775D9" w:rsidRPr="00852A50" w:rsidRDefault="002775D9" w:rsidP="002775D9">
                  <w:pPr>
                    <w:spacing w:before="120" w:after="120"/>
                    <w:ind w:firstLine="0"/>
                    <w:jc w:val="center"/>
                    <w:rPr>
                      <w:sz w:val="24"/>
                      <w:szCs w:val="22"/>
                    </w:rPr>
                  </w:pPr>
                  <w:r w:rsidRPr="00852A50">
                    <w:rPr>
                      <w:sz w:val="24"/>
                      <w:szCs w:val="22"/>
                    </w:rPr>
                    <w:t>économiste à la Centrale</w:t>
                  </w:r>
                  <w:r>
                    <w:rPr>
                      <w:sz w:val="24"/>
                      <w:szCs w:val="22"/>
                    </w:rPr>
                    <w:br/>
                  </w:r>
                  <w:r w:rsidRPr="00852A50">
                    <w:rPr>
                      <w:sz w:val="24"/>
                      <w:szCs w:val="22"/>
                    </w:rPr>
                    <w:t>des synd</w:t>
                  </w:r>
                  <w:r w:rsidRPr="00852A50">
                    <w:rPr>
                      <w:sz w:val="24"/>
                      <w:szCs w:val="22"/>
                    </w:rPr>
                    <w:t>i</w:t>
                  </w:r>
                  <w:r w:rsidRPr="00852A50">
                    <w:rPr>
                      <w:sz w:val="24"/>
                      <w:szCs w:val="22"/>
                    </w:rPr>
                    <w:t>cats du Québec (CSQ)</w:t>
                  </w:r>
                  <w:r>
                    <w:rPr>
                      <w:sz w:val="24"/>
                      <w:szCs w:val="22"/>
                    </w:rPr>
                    <w:br/>
                  </w:r>
                  <w:r w:rsidRPr="00852A50">
                    <w:rPr>
                      <w:sz w:val="24"/>
                      <w:szCs w:val="22"/>
                    </w:rPr>
                    <w:t>d</w:t>
                  </w:r>
                  <w:r w:rsidRPr="00852A50">
                    <w:rPr>
                      <w:sz w:val="24"/>
                      <w:szCs w:val="22"/>
                    </w:rPr>
                    <w:t>e</w:t>
                  </w:r>
                  <w:r w:rsidRPr="00852A50">
                    <w:rPr>
                      <w:sz w:val="24"/>
                      <w:szCs w:val="22"/>
                    </w:rPr>
                    <w:t xml:space="preserve">puis 1975
</w:t>
                  </w:r>
                </w:p>
              </w:tc>
            </w:tr>
          </w:tbl>
          <w:p w14:paraId="646C1226" w14:textId="77777777" w:rsidR="002775D9" w:rsidRDefault="002775D9" w:rsidP="002775D9">
            <w:pPr>
              <w:pStyle w:val="Titlest20"/>
              <w:rPr>
                <w:sz w:val="48"/>
                <w:lang w:bidi="ar-SA"/>
              </w:rPr>
            </w:pPr>
          </w:p>
          <w:p w14:paraId="21011772" w14:textId="77777777" w:rsidR="002775D9" w:rsidRDefault="002775D9" w:rsidP="002775D9">
            <w:pPr>
              <w:pStyle w:val="Titlest20"/>
              <w:rPr>
                <w:sz w:val="48"/>
                <w:lang w:bidi="ar-SA"/>
              </w:rPr>
            </w:pPr>
            <w:r>
              <w:rPr>
                <w:sz w:val="36"/>
                <w:lang w:bidi="ar-SA"/>
              </w:rPr>
              <w:t>Automne 1983</w:t>
            </w:r>
          </w:p>
          <w:p w14:paraId="41ED2982" w14:textId="77777777" w:rsidR="002775D9" w:rsidRPr="00400AD6" w:rsidRDefault="002775D9" w:rsidP="002775D9">
            <w:pPr>
              <w:ind w:firstLine="0"/>
              <w:jc w:val="center"/>
              <w:rPr>
                <w:b/>
                <w:sz w:val="20"/>
                <w:lang w:bidi="ar-SA"/>
              </w:rPr>
            </w:pPr>
          </w:p>
          <w:p w14:paraId="425E49CD" w14:textId="77777777" w:rsidR="002775D9" w:rsidRPr="00400AD6" w:rsidRDefault="002775D9" w:rsidP="002775D9">
            <w:pPr>
              <w:ind w:firstLine="0"/>
              <w:jc w:val="center"/>
              <w:rPr>
                <w:b/>
                <w:sz w:val="20"/>
                <w:lang w:bidi="ar-SA"/>
              </w:rPr>
            </w:pPr>
          </w:p>
          <w:p w14:paraId="364214B1" w14:textId="77777777" w:rsidR="002775D9" w:rsidRPr="00852A50" w:rsidRDefault="002775D9" w:rsidP="002775D9">
            <w:pPr>
              <w:ind w:firstLine="0"/>
              <w:jc w:val="center"/>
              <w:rPr>
                <w:sz w:val="48"/>
                <w:lang w:bidi="ar-SA"/>
              </w:rPr>
            </w:pPr>
            <w:r>
              <w:rPr>
                <w:sz w:val="48"/>
                <w:lang w:bidi="ar-SA"/>
              </w:rPr>
              <w:t>“La refonte du fédéralisme</w:t>
            </w:r>
            <w:r>
              <w:rPr>
                <w:sz w:val="48"/>
                <w:lang w:bidi="ar-SA"/>
              </w:rPr>
              <w:br/>
              <w:t>et la restructuration économique.”</w:t>
            </w:r>
          </w:p>
          <w:p w14:paraId="20208E43" w14:textId="77777777" w:rsidR="002775D9" w:rsidRDefault="002775D9">
            <w:pPr>
              <w:widowControl w:val="0"/>
              <w:ind w:firstLine="0"/>
              <w:jc w:val="center"/>
              <w:rPr>
                <w:lang w:bidi="ar-SA"/>
              </w:rPr>
            </w:pPr>
          </w:p>
          <w:p w14:paraId="1BFE7084" w14:textId="77777777" w:rsidR="002775D9" w:rsidRDefault="002775D9" w:rsidP="002775D9">
            <w:pPr>
              <w:ind w:firstLine="0"/>
              <w:jc w:val="center"/>
              <w:rPr>
                <w:color w:val="FF0000"/>
                <w:sz w:val="36"/>
                <w:lang w:bidi="ar-SA"/>
              </w:rPr>
            </w:pPr>
          </w:p>
          <w:p w14:paraId="0B2F3912" w14:textId="77777777" w:rsidR="002775D9" w:rsidRDefault="002775D9" w:rsidP="002775D9">
            <w:pPr>
              <w:widowControl w:val="0"/>
              <w:ind w:firstLine="0"/>
              <w:jc w:val="center"/>
              <w:rPr>
                <w:lang w:bidi="ar-SA"/>
              </w:rPr>
            </w:pPr>
          </w:p>
          <w:p w14:paraId="2DAD1519" w14:textId="77777777" w:rsidR="002775D9" w:rsidRDefault="002775D9" w:rsidP="002775D9">
            <w:pPr>
              <w:widowControl w:val="0"/>
              <w:ind w:firstLine="0"/>
              <w:jc w:val="center"/>
              <w:rPr>
                <w:lang w:bidi="ar-SA"/>
              </w:rPr>
            </w:pPr>
          </w:p>
          <w:p w14:paraId="640F2457" w14:textId="77777777" w:rsidR="002775D9" w:rsidRDefault="002775D9" w:rsidP="002775D9">
            <w:pPr>
              <w:widowControl w:val="0"/>
              <w:ind w:firstLine="0"/>
              <w:jc w:val="center"/>
              <w:rPr>
                <w:lang w:bidi="ar-SA"/>
              </w:rPr>
            </w:pPr>
          </w:p>
          <w:p w14:paraId="33F209A7" w14:textId="77777777" w:rsidR="002775D9" w:rsidRDefault="002775D9" w:rsidP="002775D9">
            <w:pPr>
              <w:widowControl w:val="0"/>
              <w:ind w:firstLine="0"/>
              <w:jc w:val="center"/>
              <w:rPr>
                <w:sz w:val="20"/>
                <w:lang w:bidi="ar-SA"/>
              </w:rPr>
            </w:pPr>
          </w:p>
          <w:p w14:paraId="676922A8" w14:textId="77777777" w:rsidR="002775D9" w:rsidRPr="00384B20" w:rsidRDefault="002775D9" w:rsidP="002775D9">
            <w:pPr>
              <w:widowControl w:val="0"/>
              <w:ind w:firstLine="0"/>
              <w:jc w:val="center"/>
              <w:rPr>
                <w:sz w:val="20"/>
                <w:lang w:bidi="ar-SA"/>
              </w:rPr>
            </w:pPr>
          </w:p>
          <w:p w14:paraId="476382D0" w14:textId="77777777" w:rsidR="002775D9" w:rsidRPr="00384B20" w:rsidRDefault="002775D9" w:rsidP="002775D9">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4F9E4219" w14:textId="77777777" w:rsidR="002775D9" w:rsidRPr="00E07116" w:rsidRDefault="002775D9" w:rsidP="002775D9">
            <w:pPr>
              <w:widowControl w:val="0"/>
              <w:ind w:firstLine="0"/>
              <w:jc w:val="both"/>
              <w:rPr>
                <w:lang w:bidi="ar-SA"/>
              </w:rPr>
            </w:pPr>
          </w:p>
          <w:p w14:paraId="055A9F70" w14:textId="77777777" w:rsidR="002775D9" w:rsidRPr="00E07116" w:rsidRDefault="002775D9" w:rsidP="002775D9">
            <w:pPr>
              <w:widowControl w:val="0"/>
              <w:ind w:firstLine="0"/>
              <w:jc w:val="both"/>
              <w:rPr>
                <w:lang w:bidi="ar-SA"/>
              </w:rPr>
            </w:pPr>
          </w:p>
          <w:p w14:paraId="00A343D0" w14:textId="77777777" w:rsidR="002775D9" w:rsidRDefault="002775D9" w:rsidP="002775D9">
            <w:pPr>
              <w:widowControl w:val="0"/>
              <w:ind w:firstLine="0"/>
              <w:jc w:val="both"/>
              <w:rPr>
                <w:lang w:bidi="ar-SA"/>
              </w:rPr>
            </w:pPr>
          </w:p>
          <w:p w14:paraId="126D37EA" w14:textId="77777777" w:rsidR="002775D9" w:rsidRDefault="002775D9" w:rsidP="002775D9">
            <w:pPr>
              <w:widowControl w:val="0"/>
              <w:ind w:firstLine="0"/>
              <w:jc w:val="both"/>
              <w:rPr>
                <w:lang w:bidi="ar-SA"/>
              </w:rPr>
            </w:pPr>
          </w:p>
          <w:p w14:paraId="0306CC14" w14:textId="77777777" w:rsidR="002775D9" w:rsidRDefault="002775D9" w:rsidP="002775D9">
            <w:pPr>
              <w:widowControl w:val="0"/>
              <w:ind w:firstLine="0"/>
              <w:jc w:val="both"/>
              <w:rPr>
                <w:lang w:bidi="ar-SA"/>
              </w:rPr>
            </w:pPr>
          </w:p>
          <w:p w14:paraId="36CFBF7F" w14:textId="77777777" w:rsidR="002775D9" w:rsidRDefault="002775D9" w:rsidP="002775D9">
            <w:pPr>
              <w:widowControl w:val="0"/>
              <w:ind w:firstLine="0"/>
              <w:jc w:val="both"/>
              <w:rPr>
                <w:lang w:bidi="ar-SA"/>
              </w:rPr>
            </w:pPr>
          </w:p>
          <w:p w14:paraId="5AF22B04" w14:textId="77777777" w:rsidR="002775D9" w:rsidRDefault="002775D9" w:rsidP="002775D9">
            <w:pPr>
              <w:widowControl w:val="0"/>
              <w:ind w:firstLine="0"/>
              <w:rPr>
                <w:lang w:bidi="ar-SA"/>
              </w:rPr>
            </w:pPr>
          </w:p>
          <w:p w14:paraId="17691046" w14:textId="77777777" w:rsidR="002775D9" w:rsidRDefault="002775D9" w:rsidP="002775D9">
            <w:pPr>
              <w:widowControl w:val="0"/>
              <w:ind w:firstLine="0"/>
              <w:jc w:val="both"/>
              <w:rPr>
                <w:lang w:bidi="ar-SA"/>
              </w:rPr>
            </w:pPr>
          </w:p>
        </w:tc>
      </w:tr>
    </w:tbl>
    <w:p w14:paraId="455D1DB6" w14:textId="77777777" w:rsidR="002775D9" w:rsidRDefault="002775D9" w:rsidP="002775D9">
      <w:pPr>
        <w:ind w:firstLine="0"/>
        <w:jc w:val="both"/>
      </w:pPr>
      <w:r>
        <w:br w:type="page"/>
      </w:r>
    </w:p>
    <w:p w14:paraId="2049B998" w14:textId="77777777" w:rsidR="002775D9" w:rsidRDefault="002775D9" w:rsidP="002775D9">
      <w:pPr>
        <w:ind w:firstLine="0"/>
        <w:jc w:val="both"/>
      </w:pPr>
    </w:p>
    <w:p w14:paraId="4761B3F7" w14:textId="77777777" w:rsidR="002775D9" w:rsidRDefault="002775D9" w:rsidP="002775D9">
      <w:pPr>
        <w:ind w:firstLine="0"/>
        <w:jc w:val="both"/>
      </w:pPr>
    </w:p>
    <w:p w14:paraId="0A41E9F8" w14:textId="77777777" w:rsidR="002775D9" w:rsidRDefault="00250ACF" w:rsidP="002775D9">
      <w:pPr>
        <w:ind w:firstLine="0"/>
        <w:jc w:val="right"/>
      </w:pPr>
      <w:r>
        <w:rPr>
          <w:noProof/>
        </w:rPr>
        <w:drawing>
          <wp:inline distT="0" distB="0" distL="0" distR="0" wp14:anchorId="28C98BE9" wp14:editId="570923B6">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DB97D67" w14:textId="77777777" w:rsidR="002775D9" w:rsidRDefault="002775D9" w:rsidP="002775D9">
      <w:pPr>
        <w:ind w:firstLine="0"/>
        <w:jc w:val="right"/>
      </w:pPr>
      <w:hyperlink r:id="rId9" w:history="1">
        <w:r w:rsidRPr="00302466">
          <w:rPr>
            <w:rStyle w:val="Hyperlien"/>
          </w:rPr>
          <w:t>http://classiques.uqac.ca/</w:t>
        </w:r>
      </w:hyperlink>
      <w:r>
        <w:t xml:space="preserve"> </w:t>
      </w:r>
    </w:p>
    <w:p w14:paraId="700C95A2" w14:textId="77777777" w:rsidR="002775D9" w:rsidRDefault="002775D9" w:rsidP="002775D9">
      <w:pPr>
        <w:ind w:firstLine="0"/>
        <w:jc w:val="both"/>
      </w:pPr>
    </w:p>
    <w:p w14:paraId="2DD5510D" w14:textId="77777777" w:rsidR="002775D9" w:rsidRDefault="002775D9" w:rsidP="002775D9">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6B933A75" w14:textId="77777777" w:rsidR="002775D9" w:rsidRDefault="002775D9" w:rsidP="002775D9">
      <w:pPr>
        <w:ind w:firstLine="0"/>
        <w:jc w:val="both"/>
      </w:pPr>
    </w:p>
    <w:p w14:paraId="0A369970" w14:textId="77777777" w:rsidR="002775D9" w:rsidRDefault="00250ACF" w:rsidP="002775D9">
      <w:pPr>
        <w:ind w:firstLine="0"/>
        <w:jc w:val="both"/>
      </w:pPr>
      <w:r>
        <w:rPr>
          <w:noProof/>
        </w:rPr>
        <w:drawing>
          <wp:inline distT="0" distB="0" distL="0" distR="0" wp14:anchorId="14ABF48E" wp14:editId="23D1B398">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6BA905C6" w14:textId="77777777" w:rsidR="002775D9" w:rsidRDefault="002775D9" w:rsidP="002775D9">
      <w:pPr>
        <w:ind w:firstLine="0"/>
        <w:jc w:val="both"/>
      </w:pPr>
      <w:hyperlink r:id="rId11" w:history="1">
        <w:r w:rsidRPr="00302466">
          <w:rPr>
            <w:rStyle w:val="Hyperlien"/>
          </w:rPr>
          <w:t>http://bibliotheque.uqac.ca/</w:t>
        </w:r>
      </w:hyperlink>
      <w:r>
        <w:t xml:space="preserve"> </w:t>
      </w:r>
    </w:p>
    <w:p w14:paraId="4E4F5D96" w14:textId="77777777" w:rsidR="002775D9" w:rsidRDefault="002775D9" w:rsidP="002775D9">
      <w:pPr>
        <w:ind w:firstLine="0"/>
        <w:jc w:val="both"/>
      </w:pPr>
    </w:p>
    <w:p w14:paraId="55C6299E" w14:textId="77777777" w:rsidR="002775D9" w:rsidRDefault="002775D9" w:rsidP="002775D9">
      <w:pPr>
        <w:ind w:firstLine="0"/>
        <w:jc w:val="both"/>
      </w:pPr>
    </w:p>
    <w:p w14:paraId="2E378258" w14:textId="77777777" w:rsidR="002775D9" w:rsidRDefault="002775D9" w:rsidP="002775D9">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22902BAF" w14:textId="77777777" w:rsidR="002775D9" w:rsidRPr="005E1FF1" w:rsidRDefault="002775D9" w:rsidP="002775D9">
      <w:pPr>
        <w:widowControl w:val="0"/>
        <w:autoSpaceDE w:val="0"/>
        <w:autoSpaceDN w:val="0"/>
        <w:adjustRightInd w:val="0"/>
        <w:rPr>
          <w:rFonts w:ascii="Arial" w:hAnsi="Arial"/>
          <w:sz w:val="32"/>
          <w:szCs w:val="32"/>
        </w:rPr>
      </w:pPr>
      <w:r w:rsidRPr="00E07116">
        <w:br w:type="page"/>
      </w:r>
    </w:p>
    <w:p w14:paraId="0FE89784" w14:textId="77777777" w:rsidR="002775D9" w:rsidRPr="005E1FF1" w:rsidRDefault="002775D9">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69096C9B" w14:textId="77777777" w:rsidR="002775D9" w:rsidRPr="005E1FF1" w:rsidRDefault="002775D9">
      <w:pPr>
        <w:widowControl w:val="0"/>
        <w:autoSpaceDE w:val="0"/>
        <w:autoSpaceDN w:val="0"/>
        <w:adjustRightInd w:val="0"/>
        <w:rPr>
          <w:rFonts w:ascii="Arial" w:hAnsi="Arial"/>
          <w:sz w:val="32"/>
          <w:szCs w:val="32"/>
        </w:rPr>
      </w:pPr>
    </w:p>
    <w:p w14:paraId="2998655B" w14:textId="77777777" w:rsidR="002775D9" w:rsidRPr="005E1FF1" w:rsidRDefault="002775D9">
      <w:pPr>
        <w:widowControl w:val="0"/>
        <w:autoSpaceDE w:val="0"/>
        <w:autoSpaceDN w:val="0"/>
        <w:adjustRightInd w:val="0"/>
        <w:jc w:val="both"/>
        <w:rPr>
          <w:rFonts w:ascii="Arial" w:hAnsi="Arial"/>
          <w:color w:val="1C1C1C"/>
          <w:sz w:val="26"/>
          <w:szCs w:val="26"/>
        </w:rPr>
      </w:pPr>
    </w:p>
    <w:p w14:paraId="56750EE0" w14:textId="77777777" w:rsidR="002775D9" w:rsidRPr="005E1FF1" w:rsidRDefault="002775D9">
      <w:pPr>
        <w:widowControl w:val="0"/>
        <w:autoSpaceDE w:val="0"/>
        <w:autoSpaceDN w:val="0"/>
        <w:adjustRightInd w:val="0"/>
        <w:jc w:val="both"/>
        <w:rPr>
          <w:rFonts w:ascii="Arial" w:hAnsi="Arial"/>
          <w:color w:val="1C1C1C"/>
          <w:sz w:val="26"/>
          <w:szCs w:val="26"/>
        </w:rPr>
      </w:pPr>
    </w:p>
    <w:p w14:paraId="63C897C4" w14:textId="77777777" w:rsidR="002775D9" w:rsidRPr="005E1FF1" w:rsidRDefault="002775D9">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217325BA" w14:textId="77777777" w:rsidR="002775D9" w:rsidRPr="005E1FF1" w:rsidRDefault="002775D9">
      <w:pPr>
        <w:widowControl w:val="0"/>
        <w:autoSpaceDE w:val="0"/>
        <w:autoSpaceDN w:val="0"/>
        <w:adjustRightInd w:val="0"/>
        <w:jc w:val="both"/>
        <w:rPr>
          <w:rFonts w:ascii="Arial" w:hAnsi="Arial"/>
          <w:color w:val="1C1C1C"/>
          <w:sz w:val="26"/>
          <w:szCs w:val="26"/>
        </w:rPr>
      </w:pPr>
    </w:p>
    <w:p w14:paraId="597B1D25" w14:textId="77777777" w:rsidR="002775D9" w:rsidRPr="00F336C5" w:rsidRDefault="002775D9" w:rsidP="002775D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631A06B5" w14:textId="77777777" w:rsidR="002775D9" w:rsidRPr="00F336C5" w:rsidRDefault="002775D9" w:rsidP="002775D9">
      <w:pPr>
        <w:widowControl w:val="0"/>
        <w:autoSpaceDE w:val="0"/>
        <w:autoSpaceDN w:val="0"/>
        <w:adjustRightInd w:val="0"/>
        <w:jc w:val="both"/>
        <w:rPr>
          <w:rFonts w:ascii="Arial" w:hAnsi="Arial"/>
          <w:color w:val="1C1C1C"/>
          <w:sz w:val="26"/>
          <w:szCs w:val="26"/>
        </w:rPr>
      </w:pPr>
    </w:p>
    <w:p w14:paraId="788027AA" w14:textId="77777777" w:rsidR="002775D9" w:rsidRPr="00F336C5" w:rsidRDefault="002775D9" w:rsidP="002775D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677EA3C2" w14:textId="77777777" w:rsidR="002775D9" w:rsidRPr="00F336C5" w:rsidRDefault="002775D9" w:rsidP="002775D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005D4530" w14:textId="77777777" w:rsidR="002775D9" w:rsidRPr="00F336C5" w:rsidRDefault="002775D9" w:rsidP="002775D9">
      <w:pPr>
        <w:widowControl w:val="0"/>
        <w:autoSpaceDE w:val="0"/>
        <w:autoSpaceDN w:val="0"/>
        <w:adjustRightInd w:val="0"/>
        <w:jc w:val="both"/>
        <w:rPr>
          <w:rFonts w:ascii="Arial" w:hAnsi="Arial"/>
          <w:color w:val="1C1C1C"/>
          <w:sz w:val="26"/>
          <w:szCs w:val="26"/>
        </w:rPr>
      </w:pPr>
    </w:p>
    <w:p w14:paraId="1533F1A5" w14:textId="77777777" w:rsidR="002775D9" w:rsidRPr="005E1FF1" w:rsidRDefault="002775D9">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04CA0B0E" w14:textId="77777777" w:rsidR="002775D9" w:rsidRPr="005E1FF1" w:rsidRDefault="002775D9">
      <w:pPr>
        <w:widowControl w:val="0"/>
        <w:autoSpaceDE w:val="0"/>
        <w:autoSpaceDN w:val="0"/>
        <w:adjustRightInd w:val="0"/>
        <w:jc w:val="both"/>
        <w:rPr>
          <w:rFonts w:ascii="Arial" w:hAnsi="Arial"/>
          <w:color w:val="1C1C1C"/>
          <w:sz w:val="26"/>
          <w:szCs w:val="26"/>
        </w:rPr>
      </w:pPr>
    </w:p>
    <w:p w14:paraId="5616DE33" w14:textId="77777777" w:rsidR="002775D9" w:rsidRPr="005E1FF1" w:rsidRDefault="002775D9">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46572CD1" w14:textId="77777777" w:rsidR="002775D9" w:rsidRPr="005E1FF1" w:rsidRDefault="002775D9">
      <w:pPr>
        <w:rPr>
          <w:rFonts w:ascii="Arial" w:hAnsi="Arial"/>
          <w:b/>
          <w:color w:val="1C1C1C"/>
          <w:sz w:val="26"/>
          <w:szCs w:val="26"/>
        </w:rPr>
      </w:pPr>
    </w:p>
    <w:p w14:paraId="195F1543" w14:textId="77777777" w:rsidR="002775D9" w:rsidRPr="00A51D9C" w:rsidRDefault="002775D9">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6FBF5BD1" w14:textId="77777777" w:rsidR="002775D9" w:rsidRPr="005E1FF1" w:rsidRDefault="002775D9">
      <w:pPr>
        <w:rPr>
          <w:rFonts w:ascii="Arial" w:hAnsi="Arial"/>
          <w:b/>
          <w:color w:val="1C1C1C"/>
          <w:sz w:val="26"/>
          <w:szCs w:val="26"/>
        </w:rPr>
      </w:pPr>
    </w:p>
    <w:p w14:paraId="1B324EC6" w14:textId="77777777" w:rsidR="002775D9" w:rsidRPr="005E1FF1" w:rsidRDefault="002775D9">
      <w:pPr>
        <w:rPr>
          <w:rFonts w:ascii="Arial" w:hAnsi="Arial"/>
          <w:color w:val="1C1C1C"/>
          <w:sz w:val="26"/>
          <w:szCs w:val="26"/>
        </w:rPr>
      </w:pPr>
      <w:r w:rsidRPr="005E1FF1">
        <w:rPr>
          <w:rFonts w:ascii="Arial" w:hAnsi="Arial"/>
          <w:color w:val="1C1C1C"/>
          <w:sz w:val="26"/>
          <w:szCs w:val="26"/>
        </w:rPr>
        <w:t>Jean-Marie Tremblay, sociologue</w:t>
      </w:r>
    </w:p>
    <w:p w14:paraId="7404C07E" w14:textId="77777777" w:rsidR="002775D9" w:rsidRPr="005E1FF1" w:rsidRDefault="002775D9">
      <w:pPr>
        <w:rPr>
          <w:rFonts w:ascii="Arial" w:hAnsi="Arial"/>
          <w:color w:val="1C1C1C"/>
          <w:sz w:val="26"/>
          <w:szCs w:val="26"/>
        </w:rPr>
      </w:pPr>
      <w:r w:rsidRPr="005E1FF1">
        <w:rPr>
          <w:rFonts w:ascii="Arial" w:hAnsi="Arial"/>
          <w:color w:val="1C1C1C"/>
          <w:sz w:val="26"/>
          <w:szCs w:val="26"/>
        </w:rPr>
        <w:t>Fondateur et Président-directeur général,</w:t>
      </w:r>
    </w:p>
    <w:p w14:paraId="7559954F" w14:textId="77777777" w:rsidR="002775D9" w:rsidRPr="005E1FF1" w:rsidRDefault="002775D9">
      <w:pPr>
        <w:rPr>
          <w:rFonts w:ascii="Arial" w:hAnsi="Arial"/>
          <w:color w:val="000080"/>
        </w:rPr>
      </w:pPr>
      <w:r w:rsidRPr="005E1FF1">
        <w:rPr>
          <w:rFonts w:ascii="Arial" w:hAnsi="Arial"/>
          <w:color w:val="000080"/>
          <w:sz w:val="26"/>
          <w:szCs w:val="26"/>
        </w:rPr>
        <w:t>LES CLASSIQUES DES SCIENCES SOCIALES.</w:t>
      </w:r>
    </w:p>
    <w:p w14:paraId="08C1FB80" w14:textId="77777777" w:rsidR="002775D9" w:rsidRPr="00CE2C5F" w:rsidRDefault="002775D9" w:rsidP="002775D9">
      <w:pPr>
        <w:ind w:firstLine="0"/>
        <w:rPr>
          <w:sz w:val="24"/>
        </w:rPr>
      </w:pPr>
      <w:r>
        <w:br w:type="page"/>
      </w:r>
      <w:r w:rsidRPr="00CF4C8E">
        <w:rPr>
          <w:sz w:val="24"/>
          <w:lang w:bidi="ar-SA"/>
        </w:rPr>
        <w:lastRenderedPageBreak/>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2" w:history="1">
        <w:r w:rsidRPr="00CE2C5F">
          <w:rPr>
            <w:rStyle w:val="Hyperlien"/>
            <w:sz w:val="24"/>
          </w:rPr>
          <w:t>rtoussaint@aei.ca</w:t>
        </w:r>
      </w:hyperlink>
      <w:r>
        <w:rPr>
          <w:sz w:val="24"/>
        </w:rPr>
        <w:t>.</w:t>
      </w:r>
    </w:p>
    <w:p w14:paraId="14DA2476" w14:textId="77777777" w:rsidR="002775D9" w:rsidRDefault="002775D9" w:rsidP="002775D9">
      <w:pPr>
        <w:ind w:firstLine="0"/>
        <w:jc w:val="both"/>
        <w:rPr>
          <w:sz w:val="24"/>
        </w:rPr>
      </w:pPr>
      <w:hyperlink r:id="rId13" w:history="1">
        <w:r w:rsidRPr="008B0C22">
          <w:rPr>
            <w:rStyle w:val="Hyperlien"/>
            <w:sz w:val="24"/>
          </w:rPr>
          <w:t>Page web</w:t>
        </w:r>
      </w:hyperlink>
      <w:r>
        <w:rPr>
          <w:sz w:val="24"/>
        </w:rPr>
        <w:t xml:space="preserve"> dans </w:t>
      </w:r>
      <w:r w:rsidRPr="008B0C22">
        <w:rPr>
          <w:sz w:val="24"/>
        </w:rPr>
        <w:t>Les Classiques des sciences sociales</w:t>
      </w:r>
      <w:r>
        <w:rPr>
          <w:sz w:val="24"/>
        </w:rPr>
        <w:t> :</w:t>
      </w:r>
    </w:p>
    <w:p w14:paraId="0FB576DF" w14:textId="77777777" w:rsidR="002775D9" w:rsidRDefault="002775D9" w:rsidP="002775D9">
      <w:pPr>
        <w:ind w:firstLine="0"/>
        <w:rPr>
          <w:sz w:val="24"/>
          <w:lang w:bidi="ar-SA"/>
        </w:rPr>
      </w:pPr>
      <w:hyperlink r:id="rId14" w:history="1">
        <w:r w:rsidRPr="00AC3507">
          <w:rPr>
            <w:rStyle w:val="Hyperlien"/>
            <w:sz w:val="24"/>
            <w:lang w:bidi="ar-SA"/>
          </w:rPr>
          <w:t>http://classiques.uqac.ca/inter/benevoles_equipe/liste_toussaint_rejeanne.html</w:t>
        </w:r>
      </w:hyperlink>
      <w:r>
        <w:rPr>
          <w:sz w:val="24"/>
          <w:lang w:bidi="ar-SA"/>
        </w:rPr>
        <w:t xml:space="preserve"> </w:t>
      </w:r>
    </w:p>
    <w:p w14:paraId="3F9DFEBC" w14:textId="77777777" w:rsidR="002775D9" w:rsidRPr="00CF4C8E" w:rsidRDefault="002775D9" w:rsidP="002775D9">
      <w:pPr>
        <w:ind w:firstLine="0"/>
        <w:jc w:val="both"/>
        <w:rPr>
          <w:sz w:val="24"/>
        </w:rPr>
      </w:pPr>
      <w:r w:rsidRPr="00CF4C8E">
        <w:rPr>
          <w:sz w:val="24"/>
        </w:rPr>
        <w:t>à partir du texte de :</w:t>
      </w:r>
    </w:p>
    <w:p w14:paraId="2B425534" w14:textId="77777777" w:rsidR="002775D9" w:rsidRDefault="002775D9" w:rsidP="002775D9">
      <w:pPr>
        <w:ind w:right="720" w:firstLine="0"/>
        <w:rPr>
          <w:sz w:val="24"/>
        </w:rPr>
      </w:pPr>
    </w:p>
    <w:p w14:paraId="2ACB7CBD" w14:textId="77777777" w:rsidR="002775D9" w:rsidRPr="00852A50" w:rsidRDefault="002775D9" w:rsidP="002775D9">
      <w:pPr>
        <w:ind w:right="720" w:firstLine="0"/>
      </w:pPr>
      <w:r w:rsidRPr="00852A50">
        <w:t>Yves Bélanger et Pierre Beaulne</w:t>
      </w:r>
    </w:p>
    <w:p w14:paraId="5B7D3820" w14:textId="77777777" w:rsidR="002775D9" w:rsidRDefault="002775D9" w:rsidP="002775D9">
      <w:pPr>
        <w:ind w:right="720" w:firstLine="0"/>
        <w:rPr>
          <w:sz w:val="24"/>
        </w:rPr>
      </w:pPr>
    </w:p>
    <w:p w14:paraId="6DDEF8D1" w14:textId="77777777" w:rsidR="002775D9" w:rsidRPr="00852A50" w:rsidRDefault="002775D9" w:rsidP="002775D9">
      <w:pPr>
        <w:ind w:firstLine="0"/>
        <w:rPr>
          <w:b/>
        </w:rPr>
      </w:pPr>
      <w:r w:rsidRPr="00852A50">
        <w:rPr>
          <w:b/>
          <w:lang w:bidi="ar-SA"/>
        </w:rPr>
        <w:t>“</w:t>
      </w:r>
      <w:r w:rsidRPr="00852A50">
        <w:rPr>
          <w:b/>
          <w:i/>
          <w:color w:val="0000FF"/>
          <w:lang w:bidi="ar-SA"/>
        </w:rPr>
        <w:t>La refonte du fédéralisme et la restructuration économ</w:t>
      </w:r>
      <w:r w:rsidRPr="00852A50">
        <w:rPr>
          <w:b/>
          <w:i/>
          <w:color w:val="0000FF"/>
          <w:lang w:bidi="ar-SA"/>
        </w:rPr>
        <w:t>i</w:t>
      </w:r>
      <w:r w:rsidRPr="00852A50">
        <w:rPr>
          <w:b/>
          <w:i/>
          <w:color w:val="0000FF"/>
          <w:lang w:bidi="ar-SA"/>
        </w:rPr>
        <w:t>que</w:t>
      </w:r>
      <w:r w:rsidRPr="00852A50">
        <w:rPr>
          <w:b/>
          <w:lang w:bidi="ar-SA"/>
        </w:rPr>
        <w:t>.”</w:t>
      </w:r>
    </w:p>
    <w:p w14:paraId="1DFC57EC" w14:textId="77777777" w:rsidR="002775D9" w:rsidRDefault="002775D9" w:rsidP="002775D9">
      <w:pPr>
        <w:ind w:right="720" w:firstLine="0"/>
        <w:rPr>
          <w:sz w:val="24"/>
        </w:rPr>
      </w:pPr>
    </w:p>
    <w:p w14:paraId="74C5C515" w14:textId="77777777" w:rsidR="002775D9" w:rsidRPr="00DF7756" w:rsidRDefault="002775D9" w:rsidP="002775D9">
      <w:pPr>
        <w:ind w:firstLine="0"/>
        <w:jc w:val="both"/>
      </w:pPr>
      <w:r>
        <w:t xml:space="preserve">In revue </w:t>
      </w:r>
      <w:r>
        <w:rPr>
          <w:b/>
          <w:i/>
        </w:rPr>
        <w:t>Interventions économiques</w:t>
      </w:r>
      <w:r>
        <w:rPr>
          <w:i/>
        </w:rPr>
        <w:t xml:space="preserve"> pour une alternative sociale,</w:t>
      </w:r>
      <w:r>
        <w:t xml:space="preserve"> no 11, Automne 1983, pp. 67-88. </w:t>
      </w:r>
      <w:r w:rsidRPr="00852A50">
        <w:t>Numéro intitulé : “</w:t>
      </w:r>
      <w:r w:rsidRPr="00852A50">
        <w:rPr>
          <w:i/>
        </w:rPr>
        <w:t>Crise et polit</w:t>
      </w:r>
      <w:r w:rsidRPr="00852A50">
        <w:rPr>
          <w:i/>
        </w:rPr>
        <w:t>i</w:t>
      </w:r>
      <w:r w:rsidRPr="00852A50">
        <w:rPr>
          <w:i/>
        </w:rPr>
        <w:t>ques économiques</w:t>
      </w:r>
      <w:r w:rsidRPr="00852A50">
        <w:t>”.</w:t>
      </w:r>
      <w:r>
        <w:t xml:space="preserve"> Montréal : Les Éditions Albert Saint-Martin, 1983, 184 pp.</w:t>
      </w:r>
    </w:p>
    <w:p w14:paraId="6226BA5A" w14:textId="77777777" w:rsidR="002775D9" w:rsidRDefault="002775D9">
      <w:pPr>
        <w:jc w:val="both"/>
        <w:rPr>
          <w:sz w:val="24"/>
        </w:rPr>
      </w:pPr>
    </w:p>
    <w:p w14:paraId="02C7F520" w14:textId="77777777" w:rsidR="002775D9" w:rsidRPr="0058603D" w:rsidRDefault="002775D9">
      <w:pPr>
        <w:jc w:val="both"/>
        <w:rPr>
          <w:sz w:val="24"/>
        </w:rPr>
      </w:pPr>
    </w:p>
    <w:p w14:paraId="4C138BB7" w14:textId="77777777" w:rsidR="002775D9" w:rsidRDefault="002775D9" w:rsidP="002775D9">
      <w:pPr>
        <w:jc w:val="both"/>
        <w:rPr>
          <w:sz w:val="24"/>
        </w:rPr>
      </w:pPr>
      <w:r w:rsidRPr="00915700">
        <w:rPr>
          <w:sz w:val="24"/>
        </w:rPr>
        <w:t>[Madame Diane-Gabrielle Tremblay, économiste, et professeure à l'École des sciences de l'administration de la TÉLUQ (UQÀM) nous a autorisé, le 25 septe</w:t>
      </w:r>
      <w:r w:rsidRPr="00915700">
        <w:rPr>
          <w:sz w:val="24"/>
        </w:rPr>
        <w:t>m</w:t>
      </w:r>
      <w:r w:rsidRPr="00915700">
        <w:rPr>
          <w:sz w:val="24"/>
        </w:rPr>
        <w:t xml:space="preserve">bre 2021, la diffusions en libre accès à tous des numéros 1 à 27 inclusivement le 25 septembre 2021 dans Les Classiques des sciences sociales.]
</w:t>
      </w:r>
    </w:p>
    <w:p w14:paraId="24E3C313" w14:textId="77777777" w:rsidR="002775D9" w:rsidRPr="00384B20" w:rsidRDefault="002775D9" w:rsidP="002775D9">
      <w:pPr>
        <w:jc w:val="both"/>
        <w:rPr>
          <w:sz w:val="24"/>
        </w:rPr>
      </w:pPr>
    </w:p>
    <w:p w14:paraId="50BF8758" w14:textId="77777777" w:rsidR="002775D9" w:rsidRPr="00596BDC" w:rsidRDefault="00250ACF" w:rsidP="002775D9">
      <w:pPr>
        <w:ind w:left="20" w:hanging="20"/>
        <w:rPr>
          <w:sz w:val="24"/>
        </w:rPr>
      </w:pPr>
      <w:r w:rsidRPr="00596BDC">
        <w:rPr>
          <w:noProof/>
          <w:sz w:val="24"/>
        </w:rPr>
        <w:drawing>
          <wp:inline distT="0" distB="0" distL="0" distR="0" wp14:anchorId="3EE3970D" wp14:editId="3C26967B">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2775D9" w:rsidRPr="00596BDC">
        <w:rPr>
          <w:sz w:val="24"/>
        </w:rPr>
        <w:t xml:space="preserve"> Courriel : Diane-Gabrielle Tremblay : </w:t>
      </w:r>
      <w:hyperlink r:id="rId16" w:history="1">
        <w:r w:rsidR="002775D9" w:rsidRPr="00596BDC">
          <w:rPr>
            <w:rStyle w:val="Hyperlien"/>
            <w:sz w:val="24"/>
          </w:rPr>
          <w:t>Diane-Gabrielle.Tremblay@teluq.ca</w:t>
        </w:r>
      </w:hyperlink>
      <w:r w:rsidR="002775D9" w:rsidRPr="00596BDC">
        <w:rPr>
          <w:sz w:val="24"/>
        </w:rPr>
        <w:t xml:space="preserve"> </w:t>
      </w:r>
    </w:p>
    <w:p w14:paraId="5EB813D5" w14:textId="77777777" w:rsidR="002775D9" w:rsidRDefault="002775D9" w:rsidP="002775D9">
      <w:pPr>
        <w:ind w:right="1800" w:firstLine="0"/>
        <w:jc w:val="both"/>
        <w:rPr>
          <w:sz w:val="24"/>
        </w:rPr>
      </w:pPr>
      <w:r w:rsidRPr="00E84857">
        <w:rPr>
          <w:sz w:val="24"/>
        </w:rPr>
        <w:t>Professeure</w:t>
      </w:r>
      <w:r>
        <w:rPr>
          <w:sz w:val="24"/>
        </w:rPr>
        <w:t>,</w:t>
      </w:r>
      <w:r w:rsidRPr="00E84857">
        <w:rPr>
          <w:sz w:val="24"/>
        </w:rPr>
        <w:t> École des sciences de l'administration</w:t>
      </w:r>
    </w:p>
    <w:p w14:paraId="56DDBC8D" w14:textId="77777777" w:rsidR="002775D9" w:rsidRDefault="002775D9" w:rsidP="002775D9">
      <w:pPr>
        <w:ind w:right="1800" w:firstLine="0"/>
        <w:jc w:val="both"/>
        <w:rPr>
          <w:sz w:val="24"/>
        </w:rPr>
      </w:pPr>
      <w:r w:rsidRPr="00E84857">
        <w:rPr>
          <w:sz w:val="24"/>
        </w:rPr>
        <w:t>Unive</w:t>
      </w:r>
      <w:r w:rsidRPr="00E84857">
        <w:rPr>
          <w:sz w:val="24"/>
        </w:rPr>
        <w:t>r</w:t>
      </w:r>
      <w:r w:rsidRPr="00E84857">
        <w:rPr>
          <w:sz w:val="24"/>
        </w:rPr>
        <w:t>sité TÉLUQ</w:t>
      </w:r>
    </w:p>
    <w:p w14:paraId="139755D3" w14:textId="77777777" w:rsidR="002775D9" w:rsidRDefault="002775D9" w:rsidP="002775D9">
      <w:pPr>
        <w:ind w:firstLine="0"/>
        <w:jc w:val="both"/>
        <w:rPr>
          <w:sz w:val="24"/>
        </w:rPr>
      </w:pPr>
      <w:r>
        <w:rPr>
          <w:sz w:val="24"/>
        </w:rPr>
        <w:t>Tél :</w:t>
      </w:r>
      <w:r w:rsidRPr="00E84857">
        <w:rPr>
          <w:sz w:val="24"/>
        </w:rPr>
        <w:t> 1 800 </w:t>
      </w:r>
      <w:r>
        <w:rPr>
          <w:sz w:val="24"/>
        </w:rPr>
        <w:t>665-4333 poste :</w:t>
      </w:r>
      <w:r w:rsidRPr="00E84857">
        <w:rPr>
          <w:sz w:val="24"/>
        </w:rPr>
        <w:t xml:space="preserve"> 2878</w:t>
      </w:r>
    </w:p>
    <w:p w14:paraId="2FC44902" w14:textId="77777777" w:rsidR="002775D9" w:rsidRPr="0058603D" w:rsidRDefault="002775D9" w:rsidP="002775D9">
      <w:pPr>
        <w:ind w:right="1800" w:firstLine="0"/>
        <w:jc w:val="both"/>
        <w:rPr>
          <w:sz w:val="24"/>
        </w:rPr>
      </w:pPr>
      <w:r w:rsidRPr="00241454">
        <w:rPr>
          <w:sz w:val="24"/>
        </w:rPr>
        <w:t xml:space="preserve">Yves Bélanger : </w:t>
      </w:r>
      <w:hyperlink r:id="rId17" w:history="1">
        <w:r w:rsidRPr="00241454">
          <w:rPr>
            <w:rStyle w:val="Hyperlien"/>
            <w:sz w:val="24"/>
          </w:rPr>
          <w:t>belanger.yves@uqam.ca</w:t>
        </w:r>
      </w:hyperlink>
    </w:p>
    <w:p w14:paraId="1831A4E6" w14:textId="77777777" w:rsidR="002775D9" w:rsidRDefault="002775D9" w:rsidP="002775D9">
      <w:pPr>
        <w:ind w:right="1800" w:firstLine="0"/>
        <w:jc w:val="both"/>
        <w:rPr>
          <w:sz w:val="24"/>
        </w:rPr>
      </w:pPr>
    </w:p>
    <w:p w14:paraId="438FD6DC" w14:textId="77777777" w:rsidR="002775D9" w:rsidRPr="00753781" w:rsidRDefault="002775D9" w:rsidP="002775D9">
      <w:pPr>
        <w:ind w:right="1800" w:firstLine="0"/>
        <w:jc w:val="both"/>
        <w:rPr>
          <w:sz w:val="24"/>
        </w:rPr>
      </w:pPr>
      <w:r>
        <w:rPr>
          <w:sz w:val="24"/>
        </w:rPr>
        <w:t>Police de caractères utilisés</w:t>
      </w:r>
      <w:r w:rsidRPr="00753781">
        <w:rPr>
          <w:sz w:val="24"/>
        </w:rPr>
        <w:t> :</w:t>
      </w:r>
    </w:p>
    <w:p w14:paraId="00327E75" w14:textId="77777777" w:rsidR="002775D9" w:rsidRPr="00753781" w:rsidRDefault="002775D9" w:rsidP="002775D9">
      <w:pPr>
        <w:ind w:right="1800" w:firstLine="0"/>
        <w:jc w:val="both"/>
        <w:rPr>
          <w:sz w:val="24"/>
        </w:rPr>
      </w:pPr>
    </w:p>
    <w:p w14:paraId="2C29FB63" w14:textId="77777777" w:rsidR="002775D9" w:rsidRPr="00753781" w:rsidRDefault="002775D9" w:rsidP="002775D9">
      <w:pPr>
        <w:ind w:left="360" w:right="360" w:firstLine="0"/>
        <w:jc w:val="both"/>
        <w:rPr>
          <w:sz w:val="24"/>
        </w:rPr>
      </w:pPr>
      <w:r w:rsidRPr="00753781">
        <w:rPr>
          <w:sz w:val="24"/>
        </w:rPr>
        <w:t>Pour le texte: Times New Roman, 14 points.</w:t>
      </w:r>
    </w:p>
    <w:p w14:paraId="619DD73C" w14:textId="77777777" w:rsidR="002775D9" w:rsidRPr="00753781" w:rsidRDefault="002775D9" w:rsidP="002775D9">
      <w:pPr>
        <w:ind w:left="360" w:right="360" w:firstLine="0"/>
        <w:jc w:val="both"/>
        <w:rPr>
          <w:sz w:val="24"/>
        </w:rPr>
      </w:pPr>
      <w:r w:rsidRPr="00753781">
        <w:rPr>
          <w:sz w:val="24"/>
        </w:rPr>
        <w:t>Pour les notes de bas de page : Times New Roman, 12 points.</w:t>
      </w:r>
    </w:p>
    <w:p w14:paraId="7F5711F4" w14:textId="77777777" w:rsidR="002775D9" w:rsidRPr="00753781" w:rsidRDefault="002775D9" w:rsidP="002775D9">
      <w:pPr>
        <w:ind w:left="360" w:right="1800" w:firstLine="0"/>
        <w:jc w:val="both"/>
        <w:rPr>
          <w:sz w:val="24"/>
        </w:rPr>
      </w:pPr>
    </w:p>
    <w:p w14:paraId="4A58B2D4" w14:textId="77777777" w:rsidR="002775D9" w:rsidRPr="00753781" w:rsidRDefault="002775D9" w:rsidP="002775D9">
      <w:pPr>
        <w:ind w:right="360" w:firstLine="0"/>
        <w:jc w:val="both"/>
        <w:rPr>
          <w:sz w:val="24"/>
        </w:rPr>
      </w:pPr>
      <w:r w:rsidRPr="00753781">
        <w:rPr>
          <w:sz w:val="24"/>
        </w:rPr>
        <w:t>Édition électronique réalisée avec le traitement de textes Microsoft Word 2008 pour Macintosh.</w:t>
      </w:r>
    </w:p>
    <w:p w14:paraId="47D14C27" w14:textId="77777777" w:rsidR="002775D9" w:rsidRPr="00753781" w:rsidRDefault="002775D9" w:rsidP="002775D9">
      <w:pPr>
        <w:ind w:right="1800" w:firstLine="0"/>
        <w:jc w:val="both"/>
        <w:rPr>
          <w:sz w:val="24"/>
        </w:rPr>
      </w:pPr>
    </w:p>
    <w:p w14:paraId="4363458A" w14:textId="77777777" w:rsidR="002775D9" w:rsidRPr="00753781" w:rsidRDefault="002775D9" w:rsidP="002775D9">
      <w:pPr>
        <w:ind w:right="540" w:firstLine="0"/>
        <w:jc w:val="both"/>
        <w:rPr>
          <w:sz w:val="24"/>
        </w:rPr>
      </w:pPr>
      <w:r w:rsidRPr="00753781">
        <w:rPr>
          <w:sz w:val="24"/>
        </w:rPr>
        <w:t>Mise en page sur papier format : LETTRE US, 8.5’’ x 11’’.</w:t>
      </w:r>
    </w:p>
    <w:p w14:paraId="526FA303" w14:textId="77777777" w:rsidR="002775D9" w:rsidRPr="00753781" w:rsidRDefault="002775D9" w:rsidP="002775D9">
      <w:pPr>
        <w:ind w:right="1800" w:firstLine="0"/>
        <w:jc w:val="both"/>
        <w:rPr>
          <w:sz w:val="24"/>
        </w:rPr>
      </w:pPr>
    </w:p>
    <w:p w14:paraId="1FCD88CD" w14:textId="77777777" w:rsidR="002775D9" w:rsidRPr="00753781" w:rsidRDefault="002775D9" w:rsidP="002775D9">
      <w:pPr>
        <w:ind w:firstLine="0"/>
        <w:jc w:val="both"/>
        <w:rPr>
          <w:sz w:val="24"/>
        </w:rPr>
      </w:pPr>
      <w:r w:rsidRPr="00753781">
        <w:rPr>
          <w:sz w:val="24"/>
        </w:rPr>
        <w:t xml:space="preserve">Édition numérique réalisée le </w:t>
      </w:r>
      <w:r>
        <w:rPr>
          <w:sz w:val="24"/>
        </w:rPr>
        <w:t>15 décembre 2022</w:t>
      </w:r>
      <w:r w:rsidRPr="00753781">
        <w:rPr>
          <w:sz w:val="24"/>
        </w:rPr>
        <w:t xml:space="preserve"> à Chicoutimi, Québec.</w:t>
      </w:r>
    </w:p>
    <w:p w14:paraId="2B05EABA" w14:textId="77777777" w:rsidR="002775D9" w:rsidRDefault="002775D9">
      <w:pPr>
        <w:ind w:right="1800" w:firstLine="0"/>
        <w:jc w:val="both"/>
        <w:rPr>
          <w:sz w:val="22"/>
        </w:rPr>
      </w:pPr>
    </w:p>
    <w:p w14:paraId="1D0ABBA3" w14:textId="77777777" w:rsidR="002775D9" w:rsidRDefault="00250ACF">
      <w:pPr>
        <w:ind w:right="1800" w:firstLine="0"/>
        <w:jc w:val="both"/>
      </w:pPr>
      <w:r>
        <w:rPr>
          <w:noProof/>
        </w:rPr>
        <w:drawing>
          <wp:inline distT="0" distB="0" distL="0" distR="0" wp14:anchorId="2F67AE79" wp14:editId="379D1DDE">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FCD1C6E" w14:textId="77777777" w:rsidR="002775D9" w:rsidRDefault="002775D9" w:rsidP="002775D9">
      <w:pPr>
        <w:ind w:left="20"/>
        <w:jc w:val="both"/>
      </w:pPr>
      <w:r>
        <w:br w:type="page"/>
      </w:r>
    </w:p>
    <w:p w14:paraId="3AC874FD" w14:textId="77777777" w:rsidR="002775D9" w:rsidRPr="003C0C8D" w:rsidRDefault="002775D9" w:rsidP="002775D9">
      <w:pPr>
        <w:ind w:firstLine="0"/>
        <w:jc w:val="center"/>
        <w:rPr>
          <w:b/>
          <w:lang w:bidi="ar-SA"/>
        </w:rPr>
      </w:pPr>
      <w:r w:rsidRPr="00852A50">
        <w:t>Yves Bélanger et Pierre Beaulne</w:t>
      </w:r>
    </w:p>
    <w:p w14:paraId="373CDD43" w14:textId="77777777" w:rsidR="002775D9" w:rsidRPr="005F3CF4" w:rsidRDefault="002775D9" w:rsidP="002775D9">
      <w:pPr>
        <w:ind w:firstLine="0"/>
        <w:jc w:val="center"/>
        <w:rPr>
          <w:b/>
          <w:lang w:bidi="ar-SA"/>
        </w:rPr>
      </w:pPr>
    </w:p>
    <w:p w14:paraId="35011487" w14:textId="77777777" w:rsidR="002775D9" w:rsidRPr="00852A50" w:rsidRDefault="002775D9" w:rsidP="002775D9">
      <w:pPr>
        <w:ind w:firstLine="0"/>
        <w:jc w:val="center"/>
        <w:rPr>
          <w:color w:val="FF0000"/>
          <w:sz w:val="36"/>
          <w:lang w:bidi="ar-SA"/>
        </w:rPr>
      </w:pPr>
      <w:r w:rsidRPr="00852A50">
        <w:rPr>
          <w:sz w:val="36"/>
          <w:lang w:bidi="ar-SA"/>
        </w:rPr>
        <w:t>“</w:t>
      </w:r>
      <w:r w:rsidRPr="00852A50">
        <w:rPr>
          <w:i/>
          <w:color w:val="0000FF"/>
          <w:sz w:val="36"/>
          <w:lang w:bidi="ar-SA"/>
        </w:rPr>
        <w:t>La refonte du fédéralisme</w:t>
      </w:r>
      <w:r w:rsidRPr="00852A50">
        <w:rPr>
          <w:i/>
          <w:color w:val="0000FF"/>
          <w:sz w:val="36"/>
          <w:lang w:bidi="ar-SA"/>
        </w:rPr>
        <w:br/>
        <w:t>et la restructuration économ</w:t>
      </w:r>
      <w:r w:rsidRPr="00852A50">
        <w:rPr>
          <w:i/>
          <w:color w:val="0000FF"/>
          <w:sz w:val="36"/>
          <w:lang w:bidi="ar-SA"/>
        </w:rPr>
        <w:t>i</w:t>
      </w:r>
      <w:r w:rsidRPr="00852A50">
        <w:rPr>
          <w:i/>
          <w:color w:val="0000FF"/>
          <w:sz w:val="36"/>
          <w:lang w:bidi="ar-SA"/>
        </w:rPr>
        <w:t>que</w:t>
      </w:r>
      <w:r w:rsidRPr="00852A50">
        <w:rPr>
          <w:sz w:val="36"/>
          <w:lang w:bidi="ar-SA"/>
        </w:rPr>
        <w:t>.”</w:t>
      </w:r>
    </w:p>
    <w:p w14:paraId="057D59EF" w14:textId="77777777" w:rsidR="002775D9" w:rsidRPr="00C054BF" w:rsidRDefault="002775D9" w:rsidP="002775D9">
      <w:pPr>
        <w:ind w:firstLine="0"/>
        <w:jc w:val="center"/>
        <w:rPr>
          <w:lang w:bidi="ar-SA"/>
        </w:rPr>
      </w:pPr>
    </w:p>
    <w:p w14:paraId="34EFE5F7" w14:textId="77777777" w:rsidR="002775D9" w:rsidRPr="00C054BF" w:rsidRDefault="00250ACF" w:rsidP="002775D9">
      <w:pPr>
        <w:ind w:firstLine="0"/>
        <w:jc w:val="center"/>
        <w:rPr>
          <w:lang w:bidi="ar-SA"/>
        </w:rPr>
      </w:pPr>
      <w:r>
        <w:rPr>
          <w:noProof/>
          <w:lang w:bidi="ar-SA"/>
        </w:rPr>
        <w:drawing>
          <wp:inline distT="0" distB="0" distL="0" distR="0" wp14:anchorId="218F932F" wp14:editId="1C0E3B22">
            <wp:extent cx="3263900" cy="50800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63900" cy="5080000"/>
                    </a:xfrm>
                    <a:prstGeom prst="rect">
                      <a:avLst/>
                    </a:prstGeom>
                    <a:noFill/>
                    <a:ln w="19050" cmpd="sng">
                      <a:solidFill>
                        <a:srgbClr val="000000"/>
                      </a:solidFill>
                      <a:miter lim="800000"/>
                      <a:headEnd/>
                      <a:tailEnd/>
                    </a:ln>
                    <a:effectLst/>
                  </pic:spPr>
                </pic:pic>
              </a:graphicData>
            </a:graphic>
          </wp:inline>
        </w:drawing>
      </w:r>
    </w:p>
    <w:p w14:paraId="7255FAC9" w14:textId="77777777" w:rsidR="002775D9" w:rsidRPr="00852A50" w:rsidRDefault="002775D9" w:rsidP="002775D9">
      <w:pPr>
        <w:ind w:firstLine="0"/>
        <w:jc w:val="center"/>
      </w:pPr>
    </w:p>
    <w:p w14:paraId="6782EADA" w14:textId="77777777" w:rsidR="002775D9" w:rsidRPr="00DF7756" w:rsidRDefault="002775D9" w:rsidP="002775D9">
      <w:pPr>
        <w:ind w:firstLine="0"/>
        <w:jc w:val="both"/>
      </w:pPr>
      <w:r>
        <w:t xml:space="preserve">In revue </w:t>
      </w:r>
      <w:r>
        <w:rPr>
          <w:b/>
          <w:i/>
        </w:rPr>
        <w:t>Interventions économiques</w:t>
      </w:r>
      <w:r>
        <w:rPr>
          <w:i/>
        </w:rPr>
        <w:t xml:space="preserve"> pour une alternative sociale,</w:t>
      </w:r>
      <w:r>
        <w:t xml:space="preserve"> no 11, Automne 1983, pp. 67-88. </w:t>
      </w:r>
      <w:r w:rsidRPr="00852A50">
        <w:t>Numéro intitulé : “</w:t>
      </w:r>
      <w:r w:rsidRPr="00852A50">
        <w:rPr>
          <w:i/>
        </w:rPr>
        <w:t>Crise et polit</w:t>
      </w:r>
      <w:r w:rsidRPr="00852A50">
        <w:rPr>
          <w:i/>
        </w:rPr>
        <w:t>i</w:t>
      </w:r>
      <w:r w:rsidRPr="00852A50">
        <w:rPr>
          <w:i/>
        </w:rPr>
        <w:t>ques économiques</w:t>
      </w:r>
      <w:r w:rsidRPr="00852A50">
        <w:t>”.</w:t>
      </w:r>
      <w:r>
        <w:t xml:space="preserve"> Montréal : Les Éditions Albert Saint-Martin, 1983, 184 pp.</w:t>
      </w:r>
    </w:p>
    <w:p w14:paraId="24789486" w14:textId="77777777" w:rsidR="002775D9" w:rsidRPr="00E07116" w:rsidRDefault="002775D9" w:rsidP="002775D9">
      <w:pPr>
        <w:jc w:val="both"/>
      </w:pPr>
      <w:r>
        <w:br w:type="page"/>
      </w:r>
    </w:p>
    <w:p w14:paraId="40E69EAA" w14:textId="77777777" w:rsidR="002775D9" w:rsidRPr="00E07116" w:rsidRDefault="002775D9" w:rsidP="002775D9">
      <w:pPr>
        <w:jc w:val="both"/>
      </w:pPr>
    </w:p>
    <w:p w14:paraId="6A61AC42" w14:textId="77777777" w:rsidR="002775D9" w:rsidRPr="00E07116" w:rsidRDefault="002775D9" w:rsidP="002775D9">
      <w:pPr>
        <w:jc w:val="both"/>
      </w:pPr>
    </w:p>
    <w:p w14:paraId="401A4B46" w14:textId="77777777" w:rsidR="002775D9" w:rsidRPr="00E07116" w:rsidRDefault="002775D9" w:rsidP="002775D9">
      <w:pPr>
        <w:jc w:val="both"/>
      </w:pPr>
    </w:p>
    <w:p w14:paraId="4BC69A77" w14:textId="77777777" w:rsidR="002775D9" w:rsidRPr="00E07116" w:rsidRDefault="002775D9" w:rsidP="002775D9">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D209F80" w14:textId="77777777" w:rsidR="002775D9" w:rsidRPr="00E07116" w:rsidRDefault="002775D9" w:rsidP="002775D9">
      <w:pPr>
        <w:pStyle w:val="NormalWeb"/>
        <w:spacing w:before="2" w:after="2"/>
        <w:jc w:val="both"/>
        <w:rPr>
          <w:rFonts w:ascii="Times New Roman" w:hAnsi="Times New Roman"/>
          <w:sz w:val="28"/>
        </w:rPr>
      </w:pPr>
    </w:p>
    <w:p w14:paraId="0793A3EE" w14:textId="77777777" w:rsidR="002775D9" w:rsidRPr="00E07116" w:rsidRDefault="002775D9" w:rsidP="002775D9">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6049E4D" w14:textId="77777777" w:rsidR="002775D9" w:rsidRPr="00E07116" w:rsidRDefault="002775D9" w:rsidP="002775D9">
      <w:pPr>
        <w:jc w:val="both"/>
        <w:rPr>
          <w:szCs w:val="19"/>
        </w:rPr>
      </w:pPr>
    </w:p>
    <w:p w14:paraId="3A39DCB2" w14:textId="77777777" w:rsidR="002775D9" w:rsidRPr="00E07116" w:rsidRDefault="002775D9" w:rsidP="002775D9">
      <w:pPr>
        <w:jc w:val="both"/>
        <w:rPr>
          <w:szCs w:val="19"/>
        </w:rPr>
      </w:pPr>
    </w:p>
    <w:p w14:paraId="58D461A5" w14:textId="77777777" w:rsidR="002775D9" w:rsidRPr="00161146" w:rsidRDefault="002775D9" w:rsidP="002775D9">
      <w:pPr>
        <w:pStyle w:val="p"/>
      </w:pPr>
      <w:r w:rsidRPr="00E07116">
        <w:br w:type="page"/>
      </w:r>
      <w:r>
        <w:lastRenderedPageBreak/>
        <w:t>[67]</w:t>
      </w:r>
    </w:p>
    <w:p w14:paraId="66B2CDA2" w14:textId="77777777" w:rsidR="002775D9" w:rsidRPr="00F4315E" w:rsidRDefault="002775D9" w:rsidP="002775D9">
      <w:pPr>
        <w:jc w:val="both"/>
      </w:pPr>
    </w:p>
    <w:p w14:paraId="74879FC2" w14:textId="77777777" w:rsidR="002775D9" w:rsidRPr="00F4315E" w:rsidRDefault="002775D9" w:rsidP="002775D9">
      <w:pPr>
        <w:jc w:val="both"/>
      </w:pPr>
    </w:p>
    <w:p w14:paraId="1208C280" w14:textId="77777777" w:rsidR="002775D9" w:rsidRDefault="002775D9" w:rsidP="002775D9">
      <w:pPr>
        <w:spacing w:after="120"/>
        <w:ind w:firstLine="0"/>
        <w:jc w:val="center"/>
        <w:rPr>
          <w:b/>
          <w:sz w:val="24"/>
        </w:rPr>
      </w:pPr>
      <w:bookmarkStart w:id="0" w:name="Interventions_econo_11_Dossier_pt2_t04"/>
      <w:r w:rsidRPr="00F4315E">
        <w:rPr>
          <w:b/>
          <w:sz w:val="24"/>
        </w:rPr>
        <w:t xml:space="preserve">Nos </w:t>
      </w:r>
      <w:r>
        <w:rPr>
          <w:b/>
          <w:sz w:val="24"/>
        </w:rPr>
        <w:t>11</w:t>
      </w:r>
      <w:r w:rsidRPr="00F4315E">
        <w:rPr>
          <w:b/>
          <w:sz w:val="24"/>
        </w:rPr>
        <w:t>.</w:t>
      </w:r>
      <w:r w:rsidRPr="00F4315E">
        <w:rPr>
          <w:b/>
          <w:sz w:val="24"/>
        </w:rPr>
        <w:br/>
      </w:r>
      <w:r w:rsidRPr="00955780">
        <w:rPr>
          <w:b/>
          <w:i/>
          <w:color w:val="FF0000"/>
          <w:sz w:val="24"/>
        </w:rPr>
        <w:t xml:space="preserve">CRISE: </w:t>
      </w:r>
      <w:r w:rsidRPr="00955780">
        <w:rPr>
          <w:b/>
          <w:i/>
          <w:sz w:val="24"/>
        </w:rPr>
        <w:t>POLITIQUES ÉCONOMIQUES</w:t>
      </w:r>
    </w:p>
    <w:p w14:paraId="751A6710" w14:textId="77777777" w:rsidR="002775D9" w:rsidRPr="00F4315E" w:rsidRDefault="002775D9" w:rsidP="002775D9">
      <w:pPr>
        <w:spacing w:after="120"/>
        <w:ind w:firstLine="0"/>
        <w:jc w:val="center"/>
        <w:rPr>
          <w:b/>
          <w:color w:val="008000"/>
          <w:sz w:val="24"/>
        </w:rPr>
      </w:pPr>
      <w:r>
        <w:rPr>
          <w:b/>
          <w:color w:val="008000"/>
          <w:sz w:val="24"/>
        </w:rPr>
        <w:t>DOSSIER :</w:t>
      </w:r>
      <w:r>
        <w:rPr>
          <w:b/>
          <w:color w:val="008000"/>
          <w:sz w:val="24"/>
        </w:rPr>
        <w:br/>
        <w:t>2</w:t>
      </w:r>
      <w:r w:rsidRPr="00BE6881">
        <w:rPr>
          <w:b/>
          <w:color w:val="008000"/>
          <w:sz w:val="24"/>
          <w:vertAlign w:val="superscript"/>
        </w:rPr>
        <w:t>e</w:t>
      </w:r>
      <w:r>
        <w:rPr>
          <w:b/>
          <w:color w:val="008000"/>
          <w:sz w:val="24"/>
        </w:rPr>
        <w:t xml:space="preserve"> partie : État, politiques économiques</w:t>
      </w:r>
      <w:r>
        <w:rPr>
          <w:b/>
          <w:color w:val="008000"/>
          <w:sz w:val="24"/>
        </w:rPr>
        <w:br/>
        <w:t>et restructuration</w:t>
      </w:r>
    </w:p>
    <w:p w14:paraId="10F0C45B" w14:textId="77777777" w:rsidR="002775D9" w:rsidRPr="00F4315E" w:rsidRDefault="002775D9" w:rsidP="002775D9">
      <w:pPr>
        <w:pStyle w:val="planchenb"/>
        <w:rPr>
          <w:color w:val="auto"/>
          <w:sz w:val="44"/>
        </w:rPr>
      </w:pPr>
      <w:r w:rsidRPr="00F4315E">
        <w:rPr>
          <w:color w:val="auto"/>
          <w:sz w:val="44"/>
        </w:rPr>
        <w:t>« </w:t>
      </w:r>
      <w:r>
        <w:rPr>
          <w:color w:val="auto"/>
          <w:sz w:val="44"/>
        </w:rPr>
        <w:t>LA REFONTE DU FÉDÉRALISME</w:t>
      </w:r>
      <w:r>
        <w:rPr>
          <w:color w:val="auto"/>
          <w:sz w:val="44"/>
        </w:rPr>
        <w:br/>
        <w:t>ET LA RESTRUCTURATION</w:t>
      </w:r>
      <w:r>
        <w:rPr>
          <w:color w:val="auto"/>
          <w:sz w:val="44"/>
        </w:rPr>
        <w:br/>
        <w:t>ÉCONOMIQUE</w:t>
      </w:r>
      <w:r w:rsidRPr="00F4315E">
        <w:rPr>
          <w:color w:val="auto"/>
          <w:sz w:val="44"/>
        </w:rPr>
        <w:t>. »</w:t>
      </w:r>
      <w:r>
        <w:rPr>
          <w:color w:val="auto"/>
          <w:sz w:val="44"/>
        </w:rPr>
        <w:t> </w:t>
      </w:r>
      <w:r>
        <w:rPr>
          <w:rStyle w:val="Appelnotedebasdep"/>
        </w:rPr>
        <w:footnoteReference w:customMarkFollows="1" w:id="1"/>
        <w:t>*</w:t>
      </w:r>
    </w:p>
    <w:bookmarkEnd w:id="0"/>
    <w:p w14:paraId="7FA98E21" w14:textId="77777777" w:rsidR="002775D9" w:rsidRPr="00F4315E" w:rsidRDefault="002775D9" w:rsidP="002775D9">
      <w:pPr>
        <w:jc w:val="both"/>
      </w:pPr>
    </w:p>
    <w:p w14:paraId="26BE753C" w14:textId="77777777" w:rsidR="002775D9" w:rsidRPr="00F4315E" w:rsidRDefault="002775D9" w:rsidP="002775D9">
      <w:pPr>
        <w:pStyle w:val="suite"/>
      </w:pPr>
      <w:r>
        <w:rPr>
          <w:lang w:eastAsia="fr-FR" w:bidi="fr-FR"/>
        </w:rPr>
        <w:t>Yves BÉLANGER et Pierre BEAULNE</w:t>
      </w:r>
    </w:p>
    <w:p w14:paraId="73A45257" w14:textId="77777777" w:rsidR="002775D9" w:rsidRPr="00F4315E" w:rsidRDefault="002775D9" w:rsidP="002775D9">
      <w:pPr>
        <w:jc w:val="both"/>
      </w:pPr>
    </w:p>
    <w:p w14:paraId="01F7C1C1" w14:textId="77777777" w:rsidR="002775D9" w:rsidRPr="00161146" w:rsidRDefault="002775D9" w:rsidP="002775D9">
      <w:pPr>
        <w:spacing w:before="120" w:after="120"/>
        <w:jc w:val="both"/>
        <w:rPr>
          <w:szCs w:val="19"/>
        </w:rPr>
      </w:pPr>
    </w:p>
    <w:p w14:paraId="18D0BD31" w14:textId="77777777" w:rsidR="002775D9" w:rsidRPr="00161146" w:rsidRDefault="002775D9" w:rsidP="002775D9">
      <w:pPr>
        <w:spacing w:before="120" w:after="120"/>
        <w:jc w:val="both"/>
      </w:pPr>
      <w:r w:rsidRPr="00161146">
        <w:t>Pierre E. Trudeau annonçait il y a quelques mois la création d’une Commission royale d’enquête sur l’économie. Soigneusement prép</w:t>
      </w:r>
      <w:r w:rsidRPr="00161146">
        <w:t>a</w:t>
      </w:r>
      <w:r w:rsidRPr="00161146">
        <w:t>rée par un triptyque télévisé, cette nouvelle a fait couler beaucoup d’encre. Comme l’ont relevé plusieurs observateurs de la scène can</w:t>
      </w:r>
      <w:r w:rsidRPr="00161146">
        <w:t>a</w:t>
      </w:r>
      <w:r w:rsidRPr="00161146">
        <w:t>dienne, il s’agit de toute évidence de la suite, voire de l’aboutissement de la démarche constitutionnelle fédérale. À la faveur de la crise, à travers l’objectif de réanimer l’économie canadienne en fonction des tendances lourdes de l’économie mondiale, le fédéral accentue son offensive centr</w:t>
      </w:r>
      <w:r w:rsidRPr="00161146">
        <w:t>a</w:t>
      </w:r>
      <w:r w:rsidRPr="00161146">
        <w:t>lisatrice. Selon l’hypothèse la plus vraisemblable, la Commission que préside l’ex-ministre des Finances, Donald MacD</w:t>
      </w:r>
      <w:r w:rsidRPr="00161146">
        <w:t>o</w:t>
      </w:r>
      <w:r w:rsidRPr="00161146">
        <w:t>nald, servira à légitimer l’accroissement des pouvoirs</w:t>
      </w:r>
      <w:r>
        <w:t xml:space="preserve"> </w:t>
      </w:r>
      <w:r w:rsidRPr="00161146">
        <w:t>économiques de l’État canadien et son corollaire, l’affaiblissement des États provi</w:t>
      </w:r>
      <w:r w:rsidRPr="00161146">
        <w:t>n</w:t>
      </w:r>
      <w:r w:rsidRPr="00161146">
        <w:t>ciaux autour desquels se sont formées et dynamisées les forces régi</w:t>
      </w:r>
      <w:r w:rsidRPr="00161146">
        <w:t>o</w:t>
      </w:r>
      <w:r w:rsidRPr="00161146">
        <w:t>nales depuis une vingtaine d’années. Deux questions a</w:t>
      </w:r>
      <w:r w:rsidRPr="00161146">
        <w:t>p</w:t>
      </w:r>
      <w:r w:rsidRPr="00161146">
        <w:t>paraissent dès lors au centre des débats, celle de la réorganisation économique et ce</w:t>
      </w:r>
      <w:r w:rsidRPr="00161146">
        <w:t>l</w:t>
      </w:r>
      <w:r w:rsidRPr="00161146">
        <w:t>le de l’intervention économique de l’État.</w:t>
      </w:r>
    </w:p>
    <w:p w14:paraId="1AF6BD7F" w14:textId="77777777" w:rsidR="002775D9" w:rsidRPr="00161146" w:rsidRDefault="002775D9" w:rsidP="002775D9">
      <w:pPr>
        <w:spacing w:before="120" w:after="120"/>
        <w:jc w:val="both"/>
      </w:pPr>
      <w:r w:rsidRPr="00161146">
        <w:t>Inscrite dans un processus mondial, la restructuration est fondée principalement sur l’apparition de nouveaux axes tec</w:t>
      </w:r>
      <w:r w:rsidRPr="00161146">
        <w:t>h</w:t>
      </w:r>
      <w:r w:rsidRPr="00161146">
        <w:t xml:space="preserve">nologiques et </w:t>
      </w:r>
      <w:r w:rsidRPr="00161146">
        <w:lastRenderedPageBreak/>
        <w:t>l’intensification de la concurrence commerciale internationale. Au Canada, ces paramètres de l’économie capitaliste ont été les génér</w:t>
      </w:r>
      <w:r w:rsidRPr="00161146">
        <w:t>a</w:t>
      </w:r>
      <w:r w:rsidRPr="00161146">
        <w:t>teurs d’une remise en cause des polit</w:t>
      </w:r>
      <w:r w:rsidRPr="00161146">
        <w:t>i</w:t>
      </w:r>
      <w:r w:rsidRPr="00161146">
        <w:t>ques économiques privilégiées au cours des décennies préc</w:t>
      </w:r>
      <w:r w:rsidRPr="00161146">
        <w:t>é</w:t>
      </w:r>
      <w:r w:rsidRPr="00161146">
        <w:t>dentes au</w:t>
      </w:r>
      <w:r>
        <w:t xml:space="preserve"> [68] </w:t>
      </w:r>
      <w:r w:rsidRPr="00161146">
        <w:t>profit de préoccupations consacrées prioritairement à la d</w:t>
      </w:r>
      <w:r w:rsidRPr="00161146">
        <w:t>é</w:t>
      </w:r>
      <w:r w:rsidRPr="00161146">
        <w:t>fense et à la promotion de l’unité canadienne : renforcement de la grande bou</w:t>
      </w:r>
      <w:r w:rsidRPr="00161146">
        <w:t>r</w:t>
      </w:r>
      <w:r w:rsidRPr="00161146">
        <w:t>geoisie canadienne via la canadianisation et l’internationalisation de ses activités, lancée d’un vaste programme de centralisation des pouvoirs politique et économ</w:t>
      </w:r>
      <w:r w:rsidRPr="00161146">
        <w:t>i</w:t>
      </w:r>
      <w:r w:rsidRPr="00161146">
        <w:t>que, etc.</w:t>
      </w:r>
    </w:p>
    <w:p w14:paraId="06D08091" w14:textId="77777777" w:rsidR="002775D9" w:rsidRPr="00161146" w:rsidRDefault="002775D9" w:rsidP="002775D9">
      <w:pPr>
        <w:spacing w:before="120" w:after="120"/>
        <w:jc w:val="both"/>
      </w:pPr>
      <w:r w:rsidRPr="00161146">
        <w:t>Les bouleversements économiques plus récents et principalement l’approfondissement accéléré de la crise qui a caractér</w:t>
      </w:r>
      <w:r w:rsidRPr="00161146">
        <w:t>i</w:t>
      </w:r>
      <w:r w:rsidRPr="00161146">
        <w:t>sé les dernières années ont jeté un éclairage révélateur sur la vulnérabilité des strat</w:t>
      </w:r>
      <w:r w:rsidRPr="00161146">
        <w:t>é</w:t>
      </w:r>
      <w:r w:rsidRPr="00161146">
        <w:t>gies du gouvernement central. L’effondrement du marché du pétrole par exemple a remis en question un des principaux volets de la strat</w:t>
      </w:r>
      <w:r w:rsidRPr="00161146">
        <w:t>é</w:t>
      </w:r>
      <w:r w:rsidRPr="00161146">
        <w:t>gie fédérale soit la Politique énergétique nationale (PEN). Le durci</w:t>
      </w:r>
      <w:r w:rsidRPr="00161146">
        <w:t>s</w:t>
      </w:r>
      <w:r w:rsidRPr="00161146">
        <w:t>sement de la concurrence sur les marchés internationaux a par ailleurs mis en évidence l’inadéquation de la gestion et des politiques d’Ottawa. Ce contexte a forcé le gouvernement Trudeau à chercher de nouvelles avenues aptes à relancer l’économie tout en consolidant les assises du capital canadien en fonction de pôles de croissance dyn</w:t>
      </w:r>
      <w:r w:rsidRPr="00161146">
        <w:t>a</w:t>
      </w:r>
      <w:r w:rsidRPr="00161146">
        <w:t>miques.</w:t>
      </w:r>
    </w:p>
    <w:p w14:paraId="07E0DC79" w14:textId="77777777" w:rsidR="002775D9" w:rsidRPr="00161146" w:rsidRDefault="002775D9" w:rsidP="002775D9">
      <w:pPr>
        <w:spacing w:before="120" w:after="120"/>
        <w:jc w:val="both"/>
      </w:pPr>
      <w:r w:rsidRPr="00161146">
        <w:t>Analysons plus en détail chacun de ces points.</w:t>
      </w:r>
    </w:p>
    <w:p w14:paraId="5876BE5C" w14:textId="77777777" w:rsidR="002775D9" w:rsidRDefault="002775D9" w:rsidP="002775D9">
      <w:pPr>
        <w:spacing w:before="120" w:after="120"/>
        <w:jc w:val="both"/>
      </w:pPr>
    </w:p>
    <w:p w14:paraId="5E71B64C" w14:textId="77777777" w:rsidR="002775D9" w:rsidRPr="00220EB3" w:rsidRDefault="002775D9" w:rsidP="002775D9">
      <w:pPr>
        <w:pStyle w:val="a"/>
      </w:pPr>
      <w:r w:rsidRPr="00220EB3">
        <w:t>Restructurer l’économie à l’échelle mondiale</w:t>
      </w:r>
    </w:p>
    <w:p w14:paraId="4B6B6A82" w14:textId="77777777" w:rsidR="002775D9" w:rsidRDefault="002775D9" w:rsidP="002775D9">
      <w:pPr>
        <w:spacing w:before="120" w:after="120"/>
        <w:jc w:val="both"/>
      </w:pPr>
    </w:p>
    <w:p w14:paraId="72E1E274" w14:textId="77777777" w:rsidR="002775D9" w:rsidRPr="00161146" w:rsidRDefault="002775D9" w:rsidP="002775D9">
      <w:pPr>
        <w:spacing w:before="120" w:after="120"/>
        <w:jc w:val="both"/>
      </w:pPr>
      <w:r w:rsidRPr="00161146">
        <w:t>Les changements des rapports de force au plan international, plus particulièrement au sein des pays capitalistes développés, sous-tendent la crise actuelle. Au plan international, les années soixante-dix ont été marquées par une érosion graduelle de la suprématie économique et politique des États-Unis. Au plan politique, le recul américain s’est pe</w:t>
      </w:r>
      <w:r w:rsidRPr="00161146">
        <w:t>r</w:t>
      </w:r>
      <w:r w:rsidRPr="00161146">
        <w:t>çu à travers la défaite du Vietnam-Laos-Cambodge, l’émancipation des ex</w:t>
      </w:r>
      <w:r>
        <w:t>-colonies africaines de Guinée-</w:t>
      </w:r>
      <w:r w:rsidRPr="00161146">
        <w:t>Bissaü, Angola, Mozambique, Zimbabwe, la perte de l’influence en Éthiopie et la fo</w:t>
      </w:r>
      <w:r w:rsidRPr="00161146">
        <w:t>r</w:t>
      </w:r>
      <w:r w:rsidRPr="00161146">
        <w:t>mation du cartel pétrolier de l’OPEP. Plus r</w:t>
      </w:r>
      <w:r w:rsidRPr="00161146">
        <w:t>é</w:t>
      </w:r>
      <w:r w:rsidRPr="00161146">
        <w:t>cemment, l’effondr</w:t>
      </w:r>
      <w:r>
        <w:t>ement du relais sous-</w:t>
      </w:r>
      <w:r w:rsidRPr="00161146">
        <w:t>impérialiste que con</w:t>
      </w:r>
      <w:r w:rsidRPr="00161146">
        <w:t>s</w:t>
      </w:r>
      <w:r w:rsidRPr="00161146">
        <w:t>tituait l’Iran, ainsi q</w:t>
      </w:r>
      <w:r>
        <w:t>u</w:t>
      </w:r>
      <w:r w:rsidRPr="00161146">
        <w:t xml:space="preserve">e les reculs enregistrés en </w:t>
      </w:r>
      <w:r w:rsidRPr="00161146">
        <w:lastRenderedPageBreak/>
        <w:t>Amérique centr</w:t>
      </w:r>
      <w:r w:rsidRPr="00161146">
        <w:t>a</w:t>
      </w:r>
      <w:r w:rsidRPr="00161146">
        <w:t>le, particulièrement au Nicaragua, ont accentué cette tendance.</w:t>
      </w:r>
    </w:p>
    <w:p w14:paraId="5EB96530" w14:textId="77777777" w:rsidR="002775D9" w:rsidRPr="00161146" w:rsidRDefault="002775D9" w:rsidP="002775D9">
      <w:pPr>
        <w:spacing w:before="120" w:after="120"/>
        <w:jc w:val="both"/>
      </w:pPr>
      <w:r w:rsidRPr="00161146">
        <w:t>De plus, la suprématie technologique américaine, un des p</w:t>
      </w:r>
      <w:r w:rsidRPr="00161146">
        <w:t>i</w:t>
      </w:r>
      <w:r w:rsidRPr="00161146">
        <w:t>liers sur lequel reposait la prépondérance économique des États-Unis dans la période d’après-guerre, s’effrite sous l'effet de la montée de la concu</w:t>
      </w:r>
      <w:r w:rsidRPr="00161146">
        <w:t>r</w:t>
      </w:r>
      <w:r w:rsidRPr="00161146">
        <w:t>rence japonaise et européenne. La balance commerciale américaine devient déficitaire à la fin des années soixante, reflétant la pénétration croissante du marché américain par les produits étrangers. On assiste à un craqu</w:t>
      </w:r>
      <w:r w:rsidRPr="00161146">
        <w:t>e</w:t>
      </w:r>
      <w:r w:rsidRPr="00161146">
        <w:t>ment du système commercial international consécutif aux dév</w:t>
      </w:r>
      <w:r w:rsidRPr="00161146">
        <w:t>a</w:t>
      </w:r>
      <w:r w:rsidRPr="00161146">
        <w:t>luations successives du dollar et au dérèglement de ce système en passant par la crise de l’énergie. L’apparition des nouvelles technol</w:t>
      </w:r>
      <w:r w:rsidRPr="00161146">
        <w:t>o</w:t>
      </w:r>
      <w:r w:rsidRPr="00161146">
        <w:t>gies et des nouveaux rapports de travail qui l’accompagnent a égal</w:t>
      </w:r>
      <w:r w:rsidRPr="00161146">
        <w:t>e</w:t>
      </w:r>
      <w:r w:rsidRPr="00161146">
        <w:t>ment contribué à bouleverser l’ordre économique mondial qui prév</w:t>
      </w:r>
      <w:r w:rsidRPr="00161146">
        <w:t>a</w:t>
      </w:r>
      <w:r w:rsidRPr="00161146">
        <w:t>lait jusqu’au début de la crise.</w:t>
      </w:r>
    </w:p>
    <w:p w14:paraId="096BD5C1" w14:textId="77777777" w:rsidR="002775D9" w:rsidRPr="00161146" w:rsidRDefault="002775D9" w:rsidP="002775D9">
      <w:pPr>
        <w:spacing w:before="120" w:after="120"/>
        <w:jc w:val="both"/>
      </w:pPr>
      <w:r w:rsidRPr="00161146">
        <w:t>Non seulement le capital américain est-il contesté sur les marchés extérieurs, mais il le devient aussi à l’intérieur des frontières nation</w:t>
      </w:r>
      <w:r w:rsidRPr="00161146">
        <w:t>a</w:t>
      </w:r>
      <w:r w:rsidRPr="00161146">
        <w:t>les.</w:t>
      </w:r>
    </w:p>
    <w:p w14:paraId="08F4157F" w14:textId="77777777" w:rsidR="002775D9" w:rsidRPr="00831D4B" w:rsidRDefault="002775D9" w:rsidP="002775D9">
      <w:pPr>
        <w:spacing w:before="120" w:after="120"/>
        <w:jc w:val="both"/>
      </w:pPr>
      <w:r w:rsidRPr="00161146">
        <w:t>L’entrée sur le marché américain de firmes multinationales comme Volkswagen, Nixdorf, Renault ou Michelin tout com</w:t>
      </w:r>
      <w:r>
        <w:t>me celle de pr</w:t>
      </w:r>
      <w:r>
        <w:t>o</w:t>
      </w:r>
      <w:r w:rsidRPr="00161146">
        <w:t>duits</w:t>
      </w:r>
      <w:r>
        <w:t xml:space="preserve"> [69]</w:t>
      </w:r>
      <w:r w:rsidRPr="00161146">
        <w:t xml:space="preserve"> électroniques et d’automobiles japonaises, ou encore les percées qu’y effectuent plusieurs grandes sociétés canadiennes illu</w:t>
      </w:r>
      <w:r w:rsidRPr="00161146">
        <w:t>s</w:t>
      </w:r>
      <w:r w:rsidRPr="00161146">
        <w:t>trent ce phénomène. La somme totale des avoirs étrangers en investi</w:t>
      </w:r>
      <w:r w:rsidRPr="00161146">
        <w:t>s</w:t>
      </w:r>
      <w:r w:rsidRPr="00161146">
        <w:t>s</w:t>
      </w:r>
      <w:r w:rsidRPr="00161146">
        <w:t>e</w:t>
      </w:r>
      <w:r w:rsidRPr="00161146">
        <w:t>ment direct aux USA, de 6,9 milliards de dollars qu’elle était en 1960, passe à 8,8 milliards en 1965, puis à 26,7 milliards en 1975</w:t>
      </w:r>
      <w:r>
        <w:t> </w:t>
      </w:r>
      <w:r>
        <w:rPr>
          <w:rStyle w:val="Appelnotedebasdep"/>
        </w:rPr>
        <w:footnoteReference w:id="2"/>
      </w:r>
      <w:r w:rsidRPr="00831D4B">
        <w:t>.</w:t>
      </w:r>
      <w:r w:rsidRPr="00161146">
        <w:t xml:space="preserve"> Depuis, elle a crû dans des proportions encore plus importantes. Pour l’année 1975, les investissements étrangers aux USA se chiffraient à 2,4 mi</w:t>
      </w:r>
      <w:r w:rsidRPr="00161146">
        <w:t>l</w:t>
      </w:r>
      <w:r w:rsidRPr="00161146">
        <w:t>liards de dollars. Quatre ans plus tard, ils atteignent quelque 9,5 mi</w:t>
      </w:r>
      <w:r w:rsidRPr="00161146">
        <w:t>l</w:t>
      </w:r>
      <w:r w:rsidRPr="00161146">
        <w:t>liards</w:t>
      </w:r>
      <w:r>
        <w:t> </w:t>
      </w:r>
      <w:r>
        <w:rPr>
          <w:rStyle w:val="Appelnotedebasdep"/>
        </w:rPr>
        <w:footnoteReference w:id="3"/>
      </w:r>
      <w:r w:rsidRPr="00831D4B">
        <w:t>.</w:t>
      </w:r>
    </w:p>
    <w:p w14:paraId="16E96E73" w14:textId="77777777" w:rsidR="002775D9" w:rsidRPr="00161146" w:rsidRDefault="002775D9" w:rsidP="002775D9">
      <w:pPr>
        <w:spacing w:before="120" w:after="120"/>
        <w:jc w:val="both"/>
      </w:pPr>
      <w:r w:rsidRPr="00161146">
        <w:t>Ce phénomène, illustration concrète de la transformation du ra</w:t>
      </w:r>
      <w:r w:rsidRPr="00161146">
        <w:t>p</w:t>
      </w:r>
      <w:r w:rsidRPr="00161146">
        <w:t>port de force économique mondial, constitue en bonne partie le reflet de la riposte des puissances capitalistes européennes et japonaises au type de dé</w:t>
      </w:r>
      <w:r>
        <w:t>veloppement amené dans l'après-</w:t>
      </w:r>
      <w:r w:rsidRPr="00161146">
        <w:t>guerre par les USA (gén</w:t>
      </w:r>
      <w:r w:rsidRPr="00161146">
        <w:t>é</w:t>
      </w:r>
      <w:r w:rsidRPr="00161146">
        <w:t>ralisation de la chaîne de montage et pr</w:t>
      </w:r>
      <w:r w:rsidRPr="00161146">
        <w:t>o</w:t>
      </w:r>
      <w:r w:rsidRPr="00161146">
        <w:t xml:space="preserve">duction de masse de biens de </w:t>
      </w:r>
      <w:r w:rsidRPr="00161146">
        <w:lastRenderedPageBreak/>
        <w:t>consommation). Il représente également la transformation de la d</w:t>
      </w:r>
      <w:r w:rsidRPr="00161146">
        <w:t>y</w:t>
      </w:r>
      <w:r w:rsidRPr="00161146">
        <w:t>namique du capitalisme et son réalignement sur des bases qui ont fo</w:t>
      </w:r>
      <w:r w:rsidRPr="00161146">
        <w:t>r</w:t>
      </w:r>
      <w:r w:rsidRPr="00161146">
        <w:t>cé une redéfinition des sphères nationales en fonction des tendances continentales et mondiales. Une nouvelle division du travail, un no</w:t>
      </w:r>
      <w:r w:rsidRPr="00161146">
        <w:t>u</w:t>
      </w:r>
      <w:r w:rsidRPr="00161146">
        <w:t>veau part</w:t>
      </w:r>
      <w:r w:rsidRPr="00161146">
        <w:t>a</w:t>
      </w:r>
      <w:r w:rsidRPr="00161146">
        <w:t>ge de la production, cherche à s’implanter dans un contexte beaucoup plus près de la libre circulation des marchandises (accords du GATT, etc.). Il faut toutefois souligner l’existence d’une très forte compétition mise en perspective, notamment, à la conférence des m</w:t>
      </w:r>
      <w:r w:rsidRPr="00161146">
        <w:t>i</w:t>
      </w:r>
      <w:r w:rsidRPr="00161146">
        <w:t>nistres du GATT tenue à Genève en novembre 1982 et placée à no</w:t>
      </w:r>
      <w:r w:rsidRPr="00161146">
        <w:t>u</w:t>
      </w:r>
      <w:r w:rsidRPr="00161146">
        <w:t>veau sous les feux de la rampe au sommet de Williamsburg. La dét</w:t>
      </w:r>
      <w:r w:rsidRPr="00161146">
        <w:t>é</w:t>
      </w:r>
      <w:r w:rsidRPr="00161146">
        <w:t>rioration première des conditions économiques a provoqué la réapp</w:t>
      </w:r>
      <w:r w:rsidRPr="00161146">
        <w:t>a</w:t>
      </w:r>
      <w:r w:rsidRPr="00161146">
        <w:t>rition de mesures protectionnistes un peu partout dans le monde, pa</w:t>
      </w:r>
      <w:r w:rsidRPr="00161146">
        <w:t>r</w:t>
      </w:r>
      <w:r w:rsidRPr="00161146">
        <w:t>ticulièrement aux USA.</w:t>
      </w:r>
    </w:p>
    <w:p w14:paraId="143EE5EE" w14:textId="77777777" w:rsidR="002775D9" w:rsidRPr="00161146" w:rsidRDefault="002775D9" w:rsidP="002775D9">
      <w:pPr>
        <w:spacing w:before="120" w:after="120"/>
        <w:jc w:val="both"/>
      </w:pPr>
      <w:r w:rsidRPr="00161146">
        <w:t>Quoi qu’il en soit, la dernière décennie a assisté à la cons</w:t>
      </w:r>
      <w:r w:rsidRPr="00161146">
        <w:t>o</w:t>
      </w:r>
      <w:r w:rsidRPr="00161146">
        <w:t>lidation du poids relatif de foyers économiques jusque-là s</w:t>
      </w:r>
      <w:r w:rsidRPr="00161146">
        <w:t>e</w:t>
      </w:r>
      <w:r w:rsidRPr="00161146">
        <w:t>condarisés. Les grandes entreprises japonaises, allemandes et françaises ainsi que les conglomérats nouvellement formés de certains États du tiers-monde arrivés au seuil du démarrage industriel ont grugé une part significat</w:t>
      </w:r>
      <w:r w:rsidRPr="00161146">
        <w:t>i</w:t>
      </w:r>
      <w:r w:rsidRPr="00161146">
        <w:t>ve des marchés jadis dét</w:t>
      </w:r>
      <w:r w:rsidRPr="00161146">
        <w:t>e</w:t>
      </w:r>
      <w:r w:rsidRPr="00161146">
        <w:t>nus par les multinationales américaines.</w:t>
      </w:r>
    </w:p>
    <w:p w14:paraId="4C079F1F" w14:textId="77777777" w:rsidR="002775D9" w:rsidRPr="00161146" w:rsidRDefault="002775D9" w:rsidP="002775D9">
      <w:pPr>
        <w:spacing w:before="120" w:after="120"/>
        <w:jc w:val="both"/>
      </w:pPr>
      <w:r w:rsidRPr="00161146">
        <w:t>Au Canada, jusqu’à récemment, cela se traduit par un vaste mo</w:t>
      </w:r>
      <w:r w:rsidRPr="00161146">
        <w:t>u</w:t>
      </w:r>
      <w:r w:rsidRPr="00161146">
        <w:t>vement de renforcement du capital canadien. Celui-ci va tenter d’accroître de façon sensible son poids dans l’économie</w:t>
      </w:r>
      <w:r>
        <w:t> </w:t>
      </w:r>
      <w:r>
        <w:rPr>
          <w:rStyle w:val="Appelnotedebasdep"/>
        </w:rPr>
        <w:footnoteReference w:id="4"/>
      </w:r>
      <w:r w:rsidRPr="00161146">
        <w:t xml:space="preserve"> en même temps qu’il se concentre et amorce une sérieuse offensive sur le ma</w:t>
      </w:r>
      <w:r w:rsidRPr="00161146">
        <w:t>r</w:t>
      </w:r>
      <w:r w:rsidRPr="00161146">
        <w:t>ché continental</w:t>
      </w:r>
    </w:p>
    <w:p w14:paraId="5B7042EC" w14:textId="77777777" w:rsidR="002775D9" w:rsidRDefault="002775D9" w:rsidP="002775D9">
      <w:pPr>
        <w:spacing w:before="120" w:after="120"/>
        <w:jc w:val="both"/>
      </w:pPr>
    </w:p>
    <w:p w14:paraId="7CC44FB1" w14:textId="77777777" w:rsidR="002775D9" w:rsidRPr="00B5043C" w:rsidRDefault="002775D9" w:rsidP="002775D9">
      <w:pPr>
        <w:pStyle w:val="a"/>
      </w:pPr>
      <w:r w:rsidRPr="00B5043C">
        <w:t>La concentration</w:t>
      </w:r>
    </w:p>
    <w:p w14:paraId="12323217" w14:textId="77777777" w:rsidR="002775D9" w:rsidRDefault="002775D9" w:rsidP="002775D9">
      <w:pPr>
        <w:spacing w:before="120" w:after="120"/>
        <w:jc w:val="both"/>
      </w:pPr>
    </w:p>
    <w:p w14:paraId="2AB84857" w14:textId="77777777" w:rsidR="002775D9" w:rsidRPr="00161146" w:rsidRDefault="002775D9" w:rsidP="002775D9">
      <w:pPr>
        <w:spacing w:before="120" w:after="120"/>
        <w:jc w:val="both"/>
      </w:pPr>
      <w:r w:rsidRPr="00161146">
        <w:t>On assiste depuis le milieu des années</w:t>
      </w:r>
      <w:r>
        <w:t> </w:t>
      </w:r>
      <w:r w:rsidRPr="00161146">
        <w:t>70 à un mouvement de co</w:t>
      </w:r>
      <w:r w:rsidRPr="00161146">
        <w:t>n</w:t>
      </w:r>
      <w:r w:rsidRPr="00161146">
        <w:t>centration d’entreprises au Canada dépassant tout ce qu’on a déjà connu. Plusieurs facteurs expliquent ce processus. Le reflux du capital étranger laisse au capital canadien bea</w:t>
      </w:r>
      <w:r w:rsidRPr="00161146">
        <w:t>u</w:t>
      </w:r>
      <w:r w:rsidRPr="00161146">
        <w:t>coup de possibilités pour faire des acquisitions. Dans le contexte actuel de stagnation et de forte i</w:t>
      </w:r>
      <w:r w:rsidRPr="00161146">
        <w:t>n</w:t>
      </w:r>
      <w:r w:rsidRPr="00161146">
        <w:lastRenderedPageBreak/>
        <w:t>flation, les entreprises pe</w:t>
      </w:r>
      <w:r w:rsidRPr="00161146">
        <w:t>u</w:t>
      </w:r>
      <w:r w:rsidRPr="00161146">
        <w:t>vent grossir plus facilement en achetant des concurrents en difficulté plutôt qu’en construisant des nouvelles us</w:t>
      </w:r>
      <w:r w:rsidRPr="00161146">
        <w:t>i</w:t>
      </w:r>
      <w:r w:rsidRPr="00161146">
        <w:t>nes dont le coût est élevé et pour lesquelles les débouchés sont ince</w:t>
      </w:r>
      <w:r w:rsidRPr="00161146">
        <w:t>r</w:t>
      </w:r>
      <w:r w:rsidRPr="00161146">
        <w:t>tains. Les divers groupes industriels ont accès à des fonds ba</w:t>
      </w:r>
      <w:r w:rsidRPr="00161146">
        <w:t>n</w:t>
      </w:r>
      <w:r>
        <w:t>caires gigantes</w:t>
      </w:r>
      <w:r w:rsidRPr="00161146">
        <w:t>ques</w:t>
      </w:r>
      <w:r>
        <w:t xml:space="preserve"> [70]</w:t>
      </w:r>
      <w:r w:rsidRPr="00161146">
        <w:t xml:space="preserve"> que facilite un système canadien déjà concentré</w:t>
      </w:r>
      <w:r>
        <w:t> </w:t>
      </w:r>
      <w:r>
        <w:rPr>
          <w:rStyle w:val="Appelnotedebasdep"/>
        </w:rPr>
        <w:footnoteReference w:id="5"/>
      </w:r>
      <w:r w:rsidRPr="00161146">
        <w:t>. Cela n’explique pas le mouvement mais le rend possible. Une course de vitesse est engagée au sein de l’oligarchie financière can</w:t>
      </w:r>
      <w:r w:rsidRPr="00161146">
        <w:t>a</w:t>
      </w:r>
      <w:r w:rsidRPr="00161146">
        <w:t xml:space="preserve">dienne qui cherche à se mettre à l’abri des prises de contrôle. </w:t>
      </w:r>
      <w:r>
        <w:t>Il</w:t>
      </w:r>
      <w:r w:rsidRPr="00161146">
        <w:t xml:space="preserve"> n’y a qu’une façon d’y parv</w:t>
      </w:r>
      <w:r w:rsidRPr="00161146">
        <w:t>e</w:t>
      </w:r>
      <w:r w:rsidRPr="00161146">
        <w:t>nir : devenir plus gros que les concurrents. Enfin les grands holdings canadiens recyclent leurs capitaux dans les secteurs rentables de l’avenir, comme les richesses naturelles, les communic</w:t>
      </w:r>
      <w:r w:rsidRPr="00161146">
        <w:t>a</w:t>
      </w:r>
      <w:r w:rsidRPr="00161146">
        <w:t>tions, la tec</w:t>
      </w:r>
      <w:r w:rsidRPr="00161146">
        <w:t>h</w:t>
      </w:r>
      <w:r w:rsidRPr="00161146">
        <w:t>nologie de pointe mais également dans d’autres sphères (finance, tran</w:t>
      </w:r>
      <w:r w:rsidRPr="00161146">
        <w:t>s</w:t>
      </w:r>
      <w:r w:rsidRPr="00161146">
        <w:t>port, matières premières, papier, agroalimentaire, etc.), c’est-à-dire surtout les secteurs industriels canadiens destinés à être valorisés par la réorganisation mondiale du capitalisme.</w:t>
      </w:r>
    </w:p>
    <w:p w14:paraId="7ABBFCFB" w14:textId="77777777" w:rsidR="002775D9" w:rsidRPr="00161146" w:rsidRDefault="002775D9" w:rsidP="002775D9">
      <w:pPr>
        <w:spacing w:before="120" w:after="120"/>
        <w:jc w:val="both"/>
      </w:pPr>
      <w:r w:rsidRPr="00161146">
        <w:t>Une poignée de grandes familles et entrepreneurs canadiens se re</w:t>
      </w:r>
      <w:r w:rsidRPr="00161146">
        <w:t>n</w:t>
      </w:r>
      <w:r w:rsidRPr="00161146">
        <w:t>forcent dans ces branches. La famille Reichman de Toronto par exemple, en acquérant la plus grande entreprise pap</w:t>
      </w:r>
      <w:r w:rsidRPr="00161146">
        <w:t>e</w:t>
      </w:r>
      <w:r w:rsidRPr="00161146">
        <w:t>tière au monde, produit de la fusion de Abitibi Paper et de Price (Abitibi-Price), ainsi que Brinco (ancienne propriété de Rio Tinto Zinc) et le Royal Trust Co., s’est hissée, l’an dernier, au sommet de l’establishment canadien. Olympia and York, le holding de cette famille, dispose maintenant de 3 milliards de dollars d’actif concentrés dans des proportions de 55% au Canada, 20% en Europe et 25% aux États-Unis. D’autres gro</w:t>
      </w:r>
      <w:r w:rsidRPr="00161146">
        <w:t>u</w:t>
      </w:r>
      <w:r w:rsidRPr="00161146">
        <w:t>pes tout aussi importants vont se créer ou accroître leurs activ</w:t>
      </w:r>
      <w:r w:rsidRPr="00161146">
        <w:t>i</w:t>
      </w:r>
      <w:r w:rsidRPr="00161146">
        <w:t>tés. Ainsi l’empire financier Thompson s’est-il assuré le contrôle de la Comp</w:t>
      </w:r>
      <w:r w:rsidRPr="00161146">
        <w:t>a</w:t>
      </w:r>
      <w:r w:rsidRPr="00161146">
        <w:t>gnie de la Baie d’Hudson, elle-même propriétaire de Zeller’s et Sim</w:t>
      </w:r>
      <w:r w:rsidRPr="00161146">
        <w:t>p</w:t>
      </w:r>
      <w:r w:rsidRPr="00161146">
        <w:t>sons qui comptent au nombre des princ</w:t>
      </w:r>
      <w:r w:rsidRPr="00161146">
        <w:t>i</w:t>
      </w:r>
      <w:r w:rsidRPr="00161146">
        <w:t>pales chaînes de</w:t>
      </w:r>
      <w:r>
        <w:t xml:space="preserve"> </w:t>
      </w:r>
      <w:r w:rsidRPr="00161146">
        <w:t>commerce au détail. Brascan, passée sous l</w:t>
      </w:r>
      <w:r>
        <w:t>a gouverne de la famille Bronf</w:t>
      </w:r>
      <w:r w:rsidRPr="00161146">
        <w:t>man, d</w:t>
      </w:r>
      <w:r w:rsidRPr="00161146">
        <w:t>e</w:t>
      </w:r>
      <w:r w:rsidRPr="00161146">
        <w:t>vient principal actionnaire de la firme américaine Scott Paper. En s’alliant à la Caisse de dépôt et placement du Québec, Bra</w:t>
      </w:r>
      <w:r w:rsidRPr="00161146">
        <w:t>s</w:t>
      </w:r>
      <w:r w:rsidRPr="00161146">
        <w:t>can s’est par la suite porté acquéreur d’un bloc de contrôle de Noranda, le r</w:t>
      </w:r>
      <w:r w:rsidRPr="00161146">
        <w:t>é</w:t>
      </w:r>
      <w:r w:rsidRPr="00161146">
        <w:t>cent acheteur de la Compagnie MacLaren et de MacMillan Bloedel, la principale compagnie papetière de la Colombie britannique. Par ai</w:t>
      </w:r>
      <w:r w:rsidRPr="00161146">
        <w:t>l</w:t>
      </w:r>
      <w:r w:rsidRPr="00161146">
        <w:lastRenderedPageBreak/>
        <w:t>leurs, Noranda a pris une participation importante dans Norpac, une firme déjà présente dans Mitel Corporation (microprocesseurs) et a</w:t>
      </w:r>
      <w:r w:rsidRPr="00161146">
        <w:t>s</w:t>
      </w:r>
      <w:r w:rsidRPr="00161146">
        <w:t>sociée au projet de télématique Telidon</w:t>
      </w:r>
      <w:r>
        <w:t> </w:t>
      </w:r>
      <w:r>
        <w:rPr>
          <w:rStyle w:val="Appelnotedebasdep"/>
        </w:rPr>
        <w:footnoteReference w:id="6"/>
      </w:r>
      <w:r w:rsidRPr="00161146">
        <w:t xml:space="preserve"> par sa filiale MacLaren. C</w:t>
      </w:r>
      <w:r w:rsidRPr="00161146">
        <w:t>a</w:t>
      </w:r>
      <w:r w:rsidRPr="00161146">
        <w:t>nadian Pacific a pris le contrôle des actifs canadiens de la compagnie papetière américaine C.I.P. Power Corporation s’est d</w:t>
      </w:r>
      <w:r w:rsidRPr="00161146">
        <w:t>é</w:t>
      </w:r>
      <w:r w:rsidRPr="00161146">
        <w:t>parti de ses compagnies de transport (Canadian Steamship Lines, Voyageur) au profit de Fednav qui regroupera ainsi toute une série d’entreprises de transport. Avec les recettes de cette vente, Power Corporation a fait l’acquisition d’un bloc substantiel d’actions du C</w:t>
      </w:r>
      <w:r w:rsidRPr="00161146">
        <w:t>a</w:t>
      </w:r>
      <w:r w:rsidRPr="00161146">
        <w:t>nadian Pacific, la plus grosse co</w:t>
      </w:r>
      <w:r w:rsidRPr="00161146">
        <w:t>m</w:t>
      </w:r>
      <w:r w:rsidRPr="00161146">
        <w:t>pagnie au Canada vers laquelle il lorgne de plus en plus.</w:t>
      </w:r>
    </w:p>
    <w:p w14:paraId="18E51F0C" w14:textId="77777777" w:rsidR="002775D9" w:rsidRPr="00161146" w:rsidRDefault="002775D9" w:rsidP="002775D9">
      <w:pPr>
        <w:spacing w:before="120" w:after="120"/>
        <w:jc w:val="both"/>
      </w:pPr>
      <w:r w:rsidRPr="00161146">
        <w:t>D’autres transactions d’importance ont animé les différentes bou</w:t>
      </w:r>
      <w:r w:rsidRPr="00161146">
        <w:t>r</w:t>
      </w:r>
      <w:r w:rsidRPr="00161146">
        <w:t>ses canadiennes : BC Resources — Kaiser Resources (charbon), D</w:t>
      </w:r>
      <w:r w:rsidRPr="00161146">
        <w:t>o</w:t>
      </w:r>
      <w:r>
        <w:t>mi</w:t>
      </w:r>
      <w:r w:rsidRPr="00161146">
        <w:t>nio</w:t>
      </w:r>
      <w:r>
        <w:t>n</w:t>
      </w:r>
      <w:r w:rsidRPr="00161146">
        <w:t xml:space="preserve"> Securities — A.E. Ames (finance), Versatile — Canadian Vickers (matériel de transport), John L</w:t>
      </w:r>
      <w:r w:rsidRPr="00161146">
        <w:t>a</w:t>
      </w:r>
      <w:r w:rsidRPr="00161146">
        <w:t>batt — Dominion Dairies (agroalimentaire), Cadillac Fairview — Bramalea Investment (imm</w:t>
      </w:r>
      <w:r w:rsidRPr="00161146">
        <w:t>o</w:t>
      </w:r>
      <w:r w:rsidRPr="00161146">
        <w:t>bilier), etc. Comme l’illustrent ces quelques exemples, les richesses naturelles et les pâtes et papiers figurent parmi les principales cibles de ce mo</w:t>
      </w:r>
      <w:r w:rsidRPr="00161146">
        <w:t>u</w:t>
      </w:r>
      <w:r>
        <w:t>ve</w:t>
      </w:r>
      <w:r w:rsidRPr="00161146">
        <w:t>ment</w:t>
      </w:r>
      <w:r>
        <w:t xml:space="preserve"> [71]</w:t>
      </w:r>
      <w:r w:rsidRPr="00161146">
        <w:t xml:space="preserve"> de concentration</w:t>
      </w:r>
    </w:p>
    <w:p w14:paraId="28E4DE8F" w14:textId="77777777" w:rsidR="002775D9" w:rsidRPr="00161146" w:rsidRDefault="002775D9" w:rsidP="002775D9">
      <w:pPr>
        <w:spacing w:before="120" w:after="120"/>
        <w:jc w:val="both"/>
      </w:pPr>
      <w:r w:rsidRPr="00161146">
        <w:t>Mais c’est d’abord dans les industries pétrolières et gazières que l’activité est la plus intense. En quelques années, pour ne pas dire quelques mois, la plupart des grands monopoles canadiens y ont effe</w:t>
      </w:r>
      <w:r w:rsidRPr="00161146">
        <w:t>c</w:t>
      </w:r>
      <w:r w:rsidRPr="00161146">
        <w:t>tué une percée. C’est notamment le cas de Power Corporation par l’entremise de Sceptre Resources et de Sulpetro.</w:t>
      </w:r>
    </w:p>
    <w:p w14:paraId="6F3AED90" w14:textId="77777777" w:rsidR="002775D9" w:rsidRPr="00161146" w:rsidRDefault="002775D9" w:rsidP="002775D9">
      <w:pPr>
        <w:spacing w:before="120" w:after="120"/>
        <w:jc w:val="both"/>
      </w:pPr>
      <w:r w:rsidRPr="00161146">
        <w:t>Mais des transactions beaucoup plus importantes s’y op</w:t>
      </w:r>
      <w:r w:rsidRPr="00161146">
        <w:t>è</w:t>
      </w:r>
      <w:r w:rsidRPr="00161146">
        <w:t>rent. Une compagnie pétrolière junior. Dôme Petroleum a pr</w:t>
      </w:r>
      <w:r w:rsidRPr="00161146">
        <w:t>o</w:t>
      </w:r>
      <w:r w:rsidRPr="00161146">
        <w:t>gressé à un rythme effarant. Après l’acquisition en 1978 de Trans Canada Pipeline et en 1980 de Kaiser Resources, l’entreprise crée une filiale canadienne à 75% soit Dôme Canada pour profiter de la politique énergétique n</w:t>
      </w:r>
      <w:r w:rsidRPr="00161146">
        <w:t>a</w:t>
      </w:r>
      <w:r w:rsidRPr="00161146">
        <w:t xml:space="preserve">tionale (PEN), puis s’empare de Hudson Bay Oil and Gas, détenue jusqu’alors par la firme américaine Conoco. Dôme acquiert également les chantiers navals Davie de Lauzon. Cette progression fulgurante a d’ailleurs placé Dôme dans une situation financière précaire, à la barre </w:t>
      </w:r>
      <w:r w:rsidRPr="00161146">
        <w:lastRenderedPageBreak/>
        <w:t>d’une dette de plus de 7 milliards de dollars. L’entreprise évitera la faillite en septembre 1982, après une intervention conjointe des gra</w:t>
      </w:r>
      <w:r w:rsidRPr="00161146">
        <w:t>n</w:t>
      </w:r>
      <w:r w:rsidRPr="00161146">
        <w:t>des banques et du gouvernement fédéral.</w:t>
      </w:r>
    </w:p>
    <w:p w14:paraId="42B89071" w14:textId="77777777" w:rsidR="002775D9" w:rsidRPr="00161146" w:rsidRDefault="002775D9" w:rsidP="002775D9">
      <w:pPr>
        <w:spacing w:before="120" w:after="120"/>
        <w:jc w:val="both"/>
      </w:pPr>
      <w:r w:rsidRPr="00161146">
        <w:t>Par ailleurs, l’achat au coût de 1,5 milliard de dollars de Pétrofina et de 600 millions d’actif de British Petroleum Canada par Pétro-Canada représente un autre épisode important de ce regain d’intérêt des entreprises canadiennes pour les industries énergétiques. Const</w:t>
      </w:r>
      <w:r w:rsidRPr="00161146">
        <w:t>i</w:t>
      </w:r>
      <w:r w:rsidRPr="00161146">
        <w:t>tuant de toute évidence une opération à saveur politique largement encouragée par le gouvernement Trudeau, Pétro-Canada devient ainsi la deuxième compagnie pétrolière au</w:t>
      </w:r>
      <w:r>
        <w:t xml:space="preserve"> </w:t>
      </w:r>
      <w:r w:rsidRPr="00161146">
        <w:t>Canada, derrière l’Impériale (Exxon).</w:t>
      </w:r>
    </w:p>
    <w:p w14:paraId="3D8A24E1" w14:textId="77777777" w:rsidR="002775D9" w:rsidRPr="00161146" w:rsidRDefault="002775D9" w:rsidP="002775D9">
      <w:pPr>
        <w:spacing w:before="120" w:after="120"/>
        <w:jc w:val="both"/>
      </w:pPr>
      <w:r w:rsidRPr="00161146">
        <w:t>L’autre très fédérale Corporation de développement du Canada (CDC) a également marqué des points. Une entente avec la multin</w:t>
      </w:r>
      <w:r w:rsidRPr="00161146">
        <w:t>a</w:t>
      </w:r>
      <w:r w:rsidRPr="00161146">
        <w:t>tionale française ELF — Aquitaine lui a en effet permis de mettre la main sur les avoirs canadiens de celle-ci, et de devenir le seul propri</w:t>
      </w:r>
      <w:r w:rsidRPr="00161146">
        <w:t>é</w:t>
      </w:r>
      <w:r w:rsidRPr="00161146">
        <w:t>taire des actifs canadiens de Texas Gulf et d’ELF. Rappelons que la CDC détenait déjà 35% de l’américaine Texas Gulf. La CDC a donc, dans l’échange, abandonné la part non canadienne qu’elle détenait dans la p</w:t>
      </w:r>
      <w:r w:rsidRPr="00161146">
        <w:t>é</w:t>
      </w:r>
      <w:r w:rsidRPr="00161146">
        <w:t>trolière au profit d’ELF — Aquitaine.</w:t>
      </w:r>
    </w:p>
    <w:p w14:paraId="77B59FCE" w14:textId="77777777" w:rsidR="002775D9" w:rsidRPr="00161146" w:rsidRDefault="002775D9" w:rsidP="002775D9">
      <w:pPr>
        <w:spacing w:before="120" w:after="120"/>
        <w:jc w:val="both"/>
      </w:pPr>
      <w:r w:rsidRPr="00161146">
        <w:t>Des regroupements canadiens de taille se construisent donc sous le regard bienveillant d’Ottawa. Ainsi, en 1978, trente-huit (38) grosses compagnies cotées à la bourse de Toronto cha</w:t>
      </w:r>
      <w:r w:rsidRPr="00161146">
        <w:t>n</w:t>
      </w:r>
      <w:r w:rsidRPr="00161146">
        <w:t>gent de main ; en 1979 treize (13) fusions importantes y sont réalisées, en 1980, on en compte une bonne vingtaine. Au total depuis quatre ou cinq ans, on dénombre annuellement de 450 à 500 fusions ou prises de contrôle. Selon un recensement de la Banque de Montréal, 9 milliards de dollars ont été engagés au Canada dans quinze transactions majeures pour faire des acqu</w:t>
      </w:r>
      <w:r w:rsidRPr="00161146">
        <w:t>i</w:t>
      </w:r>
      <w:r w:rsidRPr="00161146">
        <w:t>sitions d’entreprises entre janvier et juin 1981. Selon le même document cette somme s’établissait à 8 milliards pour les 12 mois de 1980. Selon les auteurs de l’étude, l’importance des sommes impl</w:t>
      </w:r>
      <w:r w:rsidRPr="00161146">
        <w:t>i</w:t>
      </w:r>
      <w:r w:rsidRPr="00161146">
        <w:t>quant principalement l’achat de firmes étrangères par des sociétés c</w:t>
      </w:r>
      <w:r w:rsidRPr="00161146">
        <w:t>a</w:t>
      </w:r>
      <w:r w:rsidRPr="00161146">
        <w:t>nadiennes aura un impact négatif sur le dollar canadien et les taux d’intérêts locaux.</w:t>
      </w:r>
    </w:p>
    <w:p w14:paraId="0DC09A66" w14:textId="77777777" w:rsidR="002775D9" w:rsidRPr="00161146" w:rsidRDefault="002775D9" w:rsidP="002775D9">
      <w:pPr>
        <w:spacing w:before="120" w:after="120"/>
        <w:jc w:val="both"/>
      </w:pPr>
      <w:r w:rsidRPr="00161146">
        <w:t>Il n’y a pas à s’étonner de la vigueur du mouvement dans les f</w:t>
      </w:r>
      <w:r w:rsidRPr="00161146">
        <w:t>i</w:t>
      </w:r>
      <w:r w:rsidRPr="00161146">
        <w:t>nances, les ressources naturelles ou</w:t>
      </w:r>
      <w:r>
        <w:t xml:space="preserve"> [72] </w:t>
      </w:r>
      <w:r w:rsidRPr="00161146">
        <w:t>l’agro-alimentaire. Ces sph</w:t>
      </w:r>
      <w:r w:rsidRPr="00161146">
        <w:t>è</w:t>
      </w:r>
      <w:r w:rsidRPr="00161146">
        <w:t>res comptent parmi celles sur lesquelles s’appuie précisément le cap</w:t>
      </w:r>
      <w:r w:rsidRPr="00161146">
        <w:t>i</w:t>
      </w:r>
      <w:r w:rsidRPr="00161146">
        <w:t>tal canadien dans son processus d’expansion. Pour les grands « holdings » canadiens, il s’agit d’acquérir une envergure internati</w:t>
      </w:r>
      <w:r w:rsidRPr="00161146">
        <w:t>o</w:t>
      </w:r>
      <w:r w:rsidRPr="00161146">
        <w:t>nale dans les bra</w:t>
      </w:r>
      <w:r w:rsidRPr="00161146">
        <w:t>n</w:t>
      </w:r>
      <w:r w:rsidRPr="00161146">
        <w:t>ches où ils sont avantagés pour pénétrer les marchés extérieurs.</w:t>
      </w:r>
    </w:p>
    <w:p w14:paraId="30EFF892" w14:textId="77777777" w:rsidR="002775D9" w:rsidRPr="00161146" w:rsidRDefault="002775D9" w:rsidP="002775D9">
      <w:pPr>
        <w:spacing w:before="120" w:after="120"/>
        <w:jc w:val="both"/>
      </w:pPr>
      <w:r w:rsidRPr="00161146">
        <w:t>Il ne faut surtout pas s’imaginer que le jeu boursier soit r</w:t>
      </w:r>
      <w:r w:rsidRPr="00161146">
        <w:t>é</w:t>
      </w:r>
      <w:r w:rsidRPr="00161146">
        <w:t>servé à la grande bourgeoisie canadienne. On a assisté au cours des dernières années à un redéploiement des forces régionales comparable à ce qui s’est produit sur la scène pan-canadienne. Plusieurs groupes financiers ou industriels puissants s’y sont constitués. La Banque nationale, Pr</w:t>
      </w:r>
      <w:r w:rsidRPr="00161146">
        <w:t>o</w:t>
      </w:r>
      <w:r w:rsidRPr="00161146">
        <w:t>vigo, le groupe La Laure</w:t>
      </w:r>
      <w:r w:rsidRPr="00161146">
        <w:t>n</w:t>
      </w:r>
      <w:r w:rsidRPr="00161146">
        <w:t>tienne dans le cas québécois comme Nova Corp., Nu-West, ou ATCO dans l’ouest en sont autant d’exemples révélateurs. En fonction de leurs objectifs de redéploiement respectifs, certaines composantes des bourgeoisies régionales ont poussé l’audace et « osé » s’attaquer à quelques-uns des monopoles can</w:t>
      </w:r>
      <w:r w:rsidRPr="00161146">
        <w:t>a</w:t>
      </w:r>
      <w:r w:rsidRPr="00161146">
        <w:t>diens. Rappelons à cet égard les interventions récentes de la Caisse de dépôt et de placement du Québec : alliance à Bra</w:t>
      </w:r>
      <w:r w:rsidRPr="00161146">
        <w:t>s</w:t>
      </w:r>
      <w:r w:rsidRPr="00161146">
        <w:t>can dans Brascade et acquisition d’un bloc de contrôle de N</w:t>
      </w:r>
      <w:r w:rsidRPr="00161146">
        <w:t>o</w:t>
      </w:r>
      <w:r w:rsidRPr="00161146">
        <w:t>randa, prise de contrôle de Domtar, alliance à Paul Desmarais en vue d’acquérir une part du contrôle du Canadien Pacifique. Devenue considérablement menaça</w:t>
      </w:r>
      <w:r w:rsidRPr="00161146">
        <w:t>n</w:t>
      </w:r>
      <w:r w:rsidRPr="00161146">
        <w:t>te pour la bourgeoisie c</w:t>
      </w:r>
      <w:r w:rsidRPr="00161146">
        <w:t>a</w:t>
      </w:r>
      <w:r w:rsidRPr="00161146">
        <w:t xml:space="preserve">nadienne, la Caisse a d’ailleurs </w:t>
      </w:r>
      <w:r>
        <w:t>été interdite sur la bourse de T</w:t>
      </w:r>
      <w:r w:rsidRPr="00161146">
        <w:t>oronto et a fait l’objet d’une importante manœuvre lég</w:t>
      </w:r>
      <w:r w:rsidRPr="00161146">
        <w:t>i</w:t>
      </w:r>
      <w:r w:rsidRPr="00161146">
        <w:t>slative pour bloquer l’acquisition du Canadien Pacifique (loi S-31).</w:t>
      </w:r>
    </w:p>
    <w:p w14:paraId="011FD7C1" w14:textId="77777777" w:rsidR="002775D9" w:rsidRPr="00161146" w:rsidRDefault="002775D9" w:rsidP="002775D9">
      <w:pPr>
        <w:spacing w:before="120" w:after="120"/>
        <w:jc w:val="both"/>
      </w:pPr>
      <w:r w:rsidRPr="00161146">
        <w:t>La ronde des « take-over » a ainsi</w:t>
      </w:r>
      <w:r>
        <w:t xml:space="preserve"> </w:t>
      </w:r>
      <w:r w:rsidRPr="00161146">
        <w:t>permis à quelques centaines d’entreprises détenues par un groupe de plus en plus restreint d’individus de s’assurer le contrôle de la majorité de l’actif des entr</w:t>
      </w:r>
      <w:r w:rsidRPr="00161146">
        <w:t>e</w:t>
      </w:r>
      <w:r w:rsidRPr="00161146">
        <w:t>prises canadiennes. Plus discrète au cours des derniers 18 mois parce que dirigée vers des sociétés d’envergure secondaire et considérabl</w:t>
      </w:r>
      <w:r w:rsidRPr="00161146">
        <w:t>e</w:t>
      </w:r>
      <w:r w:rsidRPr="00161146">
        <w:t>ment ralentie par la hausse des taux d’intérêts</w:t>
      </w:r>
      <w:r>
        <w:t> </w:t>
      </w:r>
      <w:r>
        <w:rPr>
          <w:rStyle w:val="Appelnotedebasdep"/>
        </w:rPr>
        <w:footnoteReference w:id="7"/>
      </w:r>
      <w:r w:rsidRPr="00161146">
        <w:t>, cette vague pourrait reprendre de la vigueur au cours des pr</w:t>
      </w:r>
      <w:r w:rsidRPr="00161146">
        <w:t>o</w:t>
      </w:r>
      <w:r w:rsidRPr="00161146">
        <w:t>chains mois. Disposant d’importantes liquidités, jouissant d’un climat général nettement plus favorable à ce genre d’exercice, plusieurs grandes entreprises sont a</w:t>
      </w:r>
      <w:r w:rsidRPr="00161146">
        <w:t>c</w:t>
      </w:r>
      <w:r w:rsidRPr="00161146">
        <w:t>tuellement à l’affût des marchés boursiers. En effet, la mise au rancart partielle des politiques monét</w:t>
      </w:r>
      <w:r w:rsidRPr="00161146">
        <w:t>a</w:t>
      </w:r>
      <w:r w:rsidRPr="00161146">
        <w:t>ristes et la baisse des taux d’intérêt que cela a amené</w:t>
      </w:r>
      <w:r>
        <w:t>,</w:t>
      </w:r>
      <w:r w:rsidRPr="00161146">
        <w:t xml:space="preserve"> pourrait perme</w:t>
      </w:r>
      <w:r w:rsidRPr="00161146">
        <w:t>t</w:t>
      </w:r>
      <w:r w:rsidRPr="00161146">
        <w:t>tre d’alléger le poids des dettes et d’éventuellement relancer la valse des prises de contrôle.</w:t>
      </w:r>
    </w:p>
    <w:p w14:paraId="3DA4AB01" w14:textId="77777777" w:rsidR="002775D9" w:rsidRDefault="002775D9" w:rsidP="002775D9">
      <w:pPr>
        <w:spacing w:before="120" w:after="120"/>
        <w:jc w:val="both"/>
      </w:pPr>
    </w:p>
    <w:p w14:paraId="71411F6D" w14:textId="77777777" w:rsidR="002775D9" w:rsidRDefault="002775D9" w:rsidP="002775D9">
      <w:pPr>
        <w:spacing w:before="120" w:after="120"/>
        <w:jc w:val="both"/>
      </w:pPr>
    </w:p>
    <w:p w14:paraId="6A5F8AA3" w14:textId="77777777" w:rsidR="002775D9" w:rsidRPr="00465E72" w:rsidRDefault="002775D9" w:rsidP="002775D9">
      <w:pPr>
        <w:pStyle w:val="a"/>
      </w:pPr>
      <w:r w:rsidRPr="00465E72">
        <w:t>La continentalisation</w:t>
      </w:r>
      <w:r>
        <w:t> </w:t>
      </w:r>
      <w:r w:rsidRPr="008039D5">
        <w:rPr>
          <w:rStyle w:val="Appelnotedebasdep"/>
          <w:b w:val="0"/>
          <w:i w:val="0"/>
        </w:rPr>
        <w:footnoteReference w:id="8"/>
      </w:r>
    </w:p>
    <w:p w14:paraId="6E567ABC" w14:textId="77777777" w:rsidR="002775D9" w:rsidRDefault="002775D9" w:rsidP="002775D9">
      <w:pPr>
        <w:spacing w:before="120" w:after="120"/>
        <w:jc w:val="both"/>
      </w:pPr>
    </w:p>
    <w:p w14:paraId="06AF713E" w14:textId="77777777" w:rsidR="002775D9" w:rsidRPr="00161146" w:rsidRDefault="002775D9" w:rsidP="002775D9">
      <w:pPr>
        <w:spacing w:before="120" w:after="120"/>
        <w:jc w:val="both"/>
      </w:pPr>
      <w:r w:rsidRPr="00161146">
        <w:t>Forme de redéploiement jusqu’alors plutôt marginale, la contine</w:t>
      </w:r>
      <w:r w:rsidRPr="00161146">
        <w:t>n</w:t>
      </w:r>
      <w:r w:rsidRPr="00161146">
        <w:t>talisation nord-américaine se systématise vers le milieu des années 70. De 1975 à 1980, les sorties nettes d’investissements directs canadiens s’élèvent à 6,7 milliards de dollars ; en 1981 seulement cette somme atteindra 4,9 milliards, un phénomène d’une ampleur sans précédent et d’autant plus surprenant que c’est le mouvement en sens inverse qui avait prévalu depuis la Deuxième Guerre mondiale</w:t>
      </w:r>
      <w:r>
        <w:t> </w:t>
      </w:r>
      <w:r>
        <w:rPr>
          <w:rStyle w:val="Appelnotedebasdep"/>
        </w:rPr>
        <w:footnoteReference w:id="9"/>
      </w:r>
      <w:r w:rsidRPr="00465E72">
        <w:t>.</w:t>
      </w:r>
      <w:r w:rsidRPr="00161146">
        <w:t xml:space="preserve"> Ainsi, par exemple, les banques canadiennes ont porté leurs opérations en mo</w:t>
      </w:r>
      <w:r w:rsidRPr="00161146">
        <w:t>n</w:t>
      </w:r>
      <w:r w:rsidRPr="00161146">
        <w:t>naies étrangères de 20,4% de leurs actifs</w:t>
      </w:r>
    </w:p>
    <w:p w14:paraId="1397FD37" w14:textId="77777777" w:rsidR="002775D9" w:rsidRDefault="002775D9" w:rsidP="002775D9">
      <w:pPr>
        <w:pStyle w:val="p"/>
      </w:pPr>
      <w:r w:rsidRPr="00161146">
        <w:br w:type="page"/>
      </w:r>
      <w:r>
        <w:t>[73]</w:t>
      </w:r>
    </w:p>
    <w:p w14:paraId="48D9E878" w14:textId="77777777" w:rsidR="002775D9" w:rsidRPr="00161146" w:rsidRDefault="002775D9" w:rsidP="002775D9">
      <w:pPr>
        <w:spacing w:before="120" w:after="120"/>
        <w:jc w:val="both"/>
      </w:pPr>
    </w:p>
    <w:tbl>
      <w:tblPr>
        <w:tblW w:w="0" w:type="auto"/>
        <w:tblBorders>
          <w:top w:val="single" w:sz="12" w:space="0" w:color="auto"/>
          <w:left w:val="single" w:sz="12" w:space="0" w:color="auto"/>
          <w:bottom w:val="single" w:sz="12" w:space="0" w:color="auto"/>
          <w:right w:val="single" w:sz="12" w:space="0" w:color="auto"/>
        </w:tblBorders>
        <w:tblLook w:val="00BF" w:firstRow="1" w:lastRow="0" w:firstColumn="1" w:lastColumn="0" w:noHBand="0" w:noVBand="0"/>
      </w:tblPr>
      <w:tblGrid>
        <w:gridCol w:w="3269"/>
        <w:gridCol w:w="2552"/>
        <w:gridCol w:w="2069"/>
      </w:tblGrid>
      <w:tr w:rsidR="002775D9" w:rsidRPr="00E876EC" w14:paraId="32E3CD4B" w14:textId="77777777">
        <w:tc>
          <w:tcPr>
            <w:tcW w:w="8060" w:type="dxa"/>
            <w:gridSpan w:val="3"/>
          </w:tcPr>
          <w:p w14:paraId="6AB813FD" w14:textId="77777777" w:rsidR="002775D9" w:rsidRPr="00E876EC" w:rsidRDefault="002775D9" w:rsidP="002775D9">
            <w:pPr>
              <w:spacing w:before="120" w:after="120"/>
              <w:ind w:firstLine="0"/>
              <w:jc w:val="center"/>
              <w:rPr>
                <w:sz w:val="24"/>
              </w:rPr>
            </w:pPr>
            <w:r w:rsidRPr="00E876EC">
              <w:rPr>
                <w:sz w:val="24"/>
              </w:rPr>
              <w:t>Liste des principales acquisitions au 1</w:t>
            </w:r>
            <w:r w:rsidRPr="00E876EC">
              <w:rPr>
                <w:sz w:val="24"/>
                <w:vertAlign w:val="superscript"/>
              </w:rPr>
              <w:t>er</w:t>
            </w:r>
            <w:r w:rsidRPr="00E876EC">
              <w:rPr>
                <w:sz w:val="24"/>
              </w:rPr>
              <w:t xml:space="preserve"> juin 1981</w:t>
            </w:r>
          </w:p>
        </w:tc>
      </w:tr>
      <w:tr w:rsidR="002775D9" w:rsidRPr="00E876EC" w14:paraId="6D89CA8D" w14:textId="77777777">
        <w:tc>
          <w:tcPr>
            <w:tcW w:w="3348" w:type="dxa"/>
            <w:shd w:val="clear" w:color="auto" w:fill="EEECE1"/>
          </w:tcPr>
          <w:p w14:paraId="68477DCD" w14:textId="77777777" w:rsidR="002775D9" w:rsidRPr="00E876EC" w:rsidRDefault="002775D9" w:rsidP="002775D9">
            <w:pPr>
              <w:spacing w:before="120" w:after="120"/>
              <w:ind w:firstLine="0"/>
              <w:jc w:val="both"/>
              <w:rPr>
                <w:sz w:val="24"/>
              </w:rPr>
            </w:pPr>
            <w:r w:rsidRPr="00E876EC">
              <w:rPr>
                <w:sz w:val="24"/>
              </w:rPr>
              <w:t>Entreprises canadiennes</w:t>
            </w:r>
          </w:p>
        </w:tc>
        <w:tc>
          <w:tcPr>
            <w:tcW w:w="2610" w:type="dxa"/>
            <w:shd w:val="clear" w:color="auto" w:fill="EEECE1"/>
          </w:tcPr>
          <w:p w14:paraId="19B20D39" w14:textId="77777777" w:rsidR="002775D9" w:rsidRPr="00E876EC" w:rsidRDefault="002775D9" w:rsidP="002775D9">
            <w:pPr>
              <w:spacing w:before="120" w:after="120"/>
              <w:ind w:firstLine="0"/>
              <w:jc w:val="both"/>
              <w:rPr>
                <w:sz w:val="24"/>
              </w:rPr>
            </w:pPr>
            <w:r w:rsidRPr="00E876EC">
              <w:rPr>
                <w:sz w:val="24"/>
              </w:rPr>
              <w:t>Acheteurs</w:t>
            </w:r>
          </w:p>
        </w:tc>
        <w:tc>
          <w:tcPr>
            <w:tcW w:w="2102" w:type="dxa"/>
            <w:shd w:val="clear" w:color="auto" w:fill="EEECE1"/>
          </w:tcPr>
          <w:p w14:paraId="5EB1FED3" w14:textId="77777777" w:rsidR="002775D9" w:rsidRPr="00E876EC" w:rsidRDefault="002775D9" w:rsidP="002775D9">
            <w:pPr>
              <w:spacing w:before="120" w:after="120"/>
              <w:ind w:firstLine="0"/>
              <w:jc w:val="center"/>
              <w:rPr>
                <w:sz w:val="24"/>
              </w:rPr>
            </w:pPr>
            <w:r w:rsidRPr="00E876EC">
              <w:rPr>
                <w:sz w:val="24"/>
              </w:rPr>
              <w:t>Prix (en millions de dollars)</w:t>
            </w:r>
          </w:p>
        </w:tc>
      </w:tr>
      <w:tr w:rsidR="002775D9" w:rsidRPr="00E876EC" w14:paraId="719B6203" w14:textId="77777777">
        <w:tc>
          <w:tcPr>
            <w:tcW w:w="3348" w:type="dxa"/>
          </w:tcPr>
          <w:p w14:paraId="5A2C849F" w14:textId="77777777" w:rsidR="002775D9" w:rsidRPr="00E876EC" w:rsidRDefault="002775D9" w:rsidP="002775D9">
            <w:pPr>
              <w:spacing w:before="120"/>
              <w:ind w:firstLine="0"/>
              <w:jc w:val="both"/>
              <w:rPr>
                <w:sz w:val="24"/>
              </w:rPr>
            </w:pPr>
            <w:r w:rsidRPr="00E876EC">
              <w:rPr>
                <w:sz w:val="24"/>
              </w:rPr>
              <w:t xml:space="preserve">MacMillan Bloedel </w:t>
            </w:r>
          </w:p>
        </w:tc>
        <w:tc>
          <w:tcPr>
            <w:tcW w:w="2610" w:type="dxa"/>
          </w:tcPr>
          <w:p w14:paraId="78E8BC46" w14:textId="77777777" w:rsidR="002775D9" w:rsidRPr="00E876EC" w:rsidRDefault="002775D9" w:rsidP="002775D9">
            <w:pPr>
              <w:spacing w:before="120"/>
              <w:ind w:firstLine="0"/>
              <w:jc w:val="both"/>
              <w:rPr>
                <w:sz w:val="24"/>
              </w:rPr>
            </w:pPr>
            <w:r w:rsidRPr="00E876EC">
              <w:rPr>
                <w:sz w:val="24"/>
              </w:rPr>
              <w:t>Noranda</w:t>
            </w:r>
          </w:p>
        </w:tc>
        <w:tc>
          <w:tcPr>
            <w:tcW w:w="2102" w:type="dxa"/>
          </w:tcPr>
          <w:p w14:paraId="138BB495" w14:textId="77777777" w:rsidR="002775D9" w:rsidRPr="00E876EC" w:rsidRDefault="002775D9" w:rsidP="002775D9">
            <w:pPr>
              <w:spacing w:before="120"/>
              <w:ind w:right="464" w:firstLine="0"/>
              <w:jc w:val="right"/>
              <w:rPr>
                <w:sz w:val="24"/>
              </w:rPr>
            </w:pPr>
            <w:r w:rsidRPr="00E876EC">
              <w:rPr>
                <w:sz w:val="24"/>
              </w:rPr>
              <w:t>626</w:t>
            </w:r>
          </w:p>
        </w:tc>
      </w:tr>
      <w:tr w:rsidR="002775D9" w:rsidRPr="00E876EC" w14:paraId="3D8689BD" w14:textId="77777777">
        <w:tc>
          <w:tcPr>
            <w:tcW w:w="3348" w:type="dxa"/>
          </w:tcPr>
          <w:p w14:paraId="710BFB88" w14:textId="77777777" w:rsidR="002775D9" w:rsidRPr="00E876EC" w:rsidRDefault="002775D9" w:rsidP="002775D9">
            <w:pPr>
              <w:ind w:firstLine="0"/>
              <w:jc w:val="both"/>
              <w:rPr>
                <w:sz w:val="24"/>
              </w:rPr>
            </w:pPr>
            <w:r w:rsidRPr="00E876EC">
              <w:rPr>
                <w:sz w:val="24"/>
              </w:rPr>
              <w:t xml:space="preserve">Abitibi Price </w:t>
            </w:r>
          </w:p>
        </w:tc>
        <w:tc>
          <w:tcPr>
            <w:tcW w:w="2610" w:type="dxa"/>
          </w:tcPr>
          <w:p w14:paraId="73BD86B7" w14:textId="77777777" w:rsidR="002775D9" w:rsidRPr="00E876EC" w:rsidRDefault="002775D9" w:rsidP="002775D9">
            <w:pPr>
              <w:ind w:firstLine="0"/>
              <w:jc w:val="both"/>
              <w:rPr>
                <w:sz w:val="24"/>
              </w:rPr>
            </w:pPr>
            <w:r w:rsidRPr="00E876EC">
              <w:rPr>
                <w:sz w:val="24"/>
              </w:rPr>
              <w:t>Reichman</w:t>
            </w:r>
          </w:p>
        </w:tc>
        <w:tc>
          <w:tcPr>
            <w:tcW w:w="2102" w:type="dxa"/>
          </w:tcPr>
          <w:p w14:paraId="48E6137D" w14:textId="77777777" w:rsidR="002775D9" w:rsidRPr="00E876EC" w:rsidRDefault="002775D9" w:rsidP="002775D9">
            <w:pPr>
              <w:ind w:right="464" w:firstLine="0"/>
              <w:jc w:val="right"/>
              <w:rPr>
                <w:sz w:val="24"/>
              </w:rPr>
            </w:pPr>
            <w:r w:rsidRPr="00E876EC">
              <w:rPr>
                <w:sz w:val="24"/>
              </w:rPr>
              <w:t>560</w:t>
            </w:r>
          </w:p>
        </w:tc>
      </w:tr>
      <w:tr w:rsidR="002775D9" w:rsidRPr="00E876EC" w14:paraId="4837CD50" w14:textId="77777777">
        <w:tc>
          <w:tcPr>
            <w:tcW w:w="3348" w:type="dxa"/>
          </w:tcPr>
          <w:p w14:paraId="6D5EDDA4" w14:textId="77777777" w:rsidR="002775D9" w:rsidRPr="00E876EC" w:rsidRDefault="002775D9" w:rsidP="002775D9">
            <w:pPr>
              <w:ind w:firstLine="0"/>
              <w:jc w:val="both"/>
              <w:rPr>
                <w:sz w:val="24"/>
              </w:rPr>
            </w:pPr>
            <w:r w:rsidRPr="00E876EC">
              <w:rPr>
                <w:sz w:val="24"/>
              </w:rPr>
              <w:t xml:space="preserve">Allarco Development </w:t>
            </w:r>
          </w:p>
        </w:tc>
        <w:tc>
          <w:tcPr>
            <w:tcW w:w="2610" w:type="dxa"/>
          </w:tcPr>
          <w:p w14:paraId="6B69CF71" w14:textId="77777777" w:rsidR="002775D9" w:rsidRPr="00E876EC" w:rsidRDefault="002775D9" w:rsidP="002775D9">
            <w:pPr>
              <w:ind w:firstLine="0"/>
              <w:jc w:val="both"/>
              <w:rPr>
                <w:sz w:val="24"/>
              </w:rPr>
            </w:pPr>
            <w:r w:rsidRPr="00E876EC">
              <w:rPr>
                <w:sz w:val="24"/>
              </w:rPr>
              <w:t>Carma developpers</w:t>
            </w:r>
          </w:p>
        </w:tc>
        <w:tc>
          <w:tcPr>
            <w:tcW w:w="2102" w:type="dxa"/>
          </w:tcPr>
          <w:p w14:paraId="55480D6C" w14:textId="77777777" w:rsidR="002775D9" w:rsidRPr="00E876EC" w:rsidRDefault="002775D9" w:rsidP="002775D9">
            <w:pPr>
              <w:ind w:right="464" w:firstLine="0"/>
              <w:jc w:val="right"/>
              <w:rPr>
                <w:sz w:val="24"/>
              </w:rPr>
            </w:pPr>
            <w:r w:rsidRPr="00E876EC">
              <w:rPr>
                <w:sz w:val="24"/>
              </w:rPr>
              <w:t>240</w:t>
            </w:r>
          </w:p>
        </w:tc>
      </w:tr>
      <w:tr w:rsidR="002775D9" w:rsidRPr="00E876EC" w14:paraId="7B0D96B5" w14:textId="77777777">
        <w:tc>
          <w:tcPr>
            <w:tcW w:w="3348" w:type="dxa"/>
          </w:tcPr>
          <w:p w14:paraId="1FCC512D" w14:textId="77777777" w:rsidR="002775D9" w:rsidRPr="00E876EC" w:rsidRDefault="002775D9" w:rsidP="002775D9">
            <w:pPr>
              <w:ind w:firstLine="0"/>
              <w:jc w:val="both"/>
              <w:rPr>
                <w:sz w:val="24"/>
              </w:rPr>
            </w:pPr>
            <w:r w:rsidRPr="00E876EC">
              <w:rPr>
                <w:sz w:val="24"/>
              </w:rPr>
              <w:t>Afton M</w:t>
            </w:r>
            <w:r w:rsidRPr="00E876EC">
              <w:rPr>
                <w:sz w:val="24"/>
              </w:rPr>
              <w:t>i</w:t>
            </w:r>
            <w:r w:rsidRPr="00E876EC">
              <w:rPr>
                <w:sz w:val="24"/>
              </w:rPr>
              <w:t xml:space="preserve">nes </w:t>
            </w:r>
          </w:p>
        </w:tc>
        <w:tc>
          <w:tcPr>
            <w:tcW w:w="2610" w:type="dxa"/>
          </w:tcPr>
          <w:p w14:paraId="7C530063" w14:textId="77777777" w:rsidR="002775D9" w:rsidRPr="00E876EC" w:rsidRDefault="002775D9" w:rsidP="002775D9">
            <w:pPr>
              <w:ind w:firstLine="0"/>
              <w:jc w:val="both"/>
              <w:rPr>
                <w:sz w:val="24"/>
              </w:rPr>
            </w:pPr>
            <w:r w:rsidRPr="00E876EC">
              <w:rPr>
                <w:sz w:val="24"/>
              </w:rPr>
              <w:t>Teck</w:t>
            </w:r>
          </w:p>
        </w:tc>
        <w:tc>
          <w:tcPr>
            <w:tcW w:w="2102" w:type="dxa"/>
          </w:tcPr>
          <w:p w14:paraId="1742DC64" w14:textId="77777777" w:rsidR="002775D9" w:rsidRPr="00E876EC" w:rsidRDefault="002775D9" w:rsidP="002775D9">
            <w:pPr>
              <w:ind w:right="464" w:firstLine="0"/>
              <w:jc w:val="right"/>
              <w:rPr>
                <w:sz w:val="24"/>
              </w:rPr>
            </w:pPr>
            <w:r w:rsidRPr="00E876EC">
              <w:rPr>
                <w:sz w:val="24"/>
              </w:rPr>
              <w:t>200</w:t>
            </w:r>
          </w:p>
        </w:tc>
      </w:tr>
      <w:tr w:rsidR="002775D9" w:rsidRPr="00E876EC" w14:paraId="5AB402B7" w14:textId="77777777">
        <w:tc>
          <w:tcPr>
            <w:tcW w:w="3348" w:type="dxa"/>
          </w:tcPr>
          <w:p w14:paraId="535B884D" w14:textId="77777777" w:rsidR="002775D9" w:rsidRPr="00E876EC" w:rsidRDefault="002775D9" w:rsidP="002775D9">
            <w:pPr>
              <w:ind w:firstLine="0"/>
              <w:jc w:val="both"/>
              <w:rPr>
                <w:sz w:val="24"/>
              </w:rPr>
            </w:pPr>
            <w:r w:rsidRPr="00E876EC">
              <w:rPr>
                <w:sz w:val="24"/>
              </w:rPr>
              <w:t>Zeller’s</w:t>
            </w:r>
          </w:p>
        </w:tc>
        <w:tc>
          <w:tcPr>
            <w:tcW w:w="2610" w:type="dxa"/>
          </w:tcPr>
          <w:p w14:paraId="7988D733" w14:textId="77777777" w:rsidR="002775D9" w:rsidRPr="00E876EC" w:rsidRDefault="002775D9" w:rsidP="002775D9">
            <w:pPr>
              <w:ind w:firstLine="0"/>
              <w:jc w:val="both"/>
              <w:rPr>
                <w:sz w:val="24"/>
              </w:rPr>
            </w:pPr>
            <w:r w:rsidRPr="00E876EC">
              <w:rPr>
                <w:sz w:val="24"/>
              </w:rPr>
              <w:t>The Bay</w:t>
            </w:r>
          </w:p>
        </w:tc>
        <w:tc>
          <w:tcPr>
            <w:tcW w:w="2102" w:type="dxa"/>
          </w:tcPr>
          <w:p w14:paraId="11B4A894" w14:textId="77777777" w:rsidR="002775D9" w:rsidRPr="00E876EC" w:rsidRDefault="002775D9" w:rsidP="002775D9">
            <w:pPr>
              <w:ind w:right="464" w:firstLine="0"/>
              <w:jc w:val="right"/>
              <w:rPr>
                <w:sz w:val="24"/>
              </w:rPr>
            </w:pPr>
            <w:r w:rsidRPr="00E876EC">
              <w:rPr>
                <w:sz w:val="24"/>
              </w:rPr>
              <w:t>151</w:t>
            </w:r>
          </w:p>
        </w:tc>
      </w:tr>
      <w:tr w:rsidR="002775D9" w:rsidRPr="00E876EC" w14:paraId="746BB5C5" w14:textId="77777777">
        <w:tc>
          <w:tcPr>
            <w:tcW w:w="3348" w:type="dxa"/>
          </w:tcPr>
          <w:p w14:paraId="46D91539" w14:textId="77777777" w:rsidR="002775D9" w:rsidRPr="00E876EC" w:rsidRDefault="002775D9" w:rsidP="002775D9">
            <w:pPr>
              <w:ind w:firstLine="0"/>
              <w:jc w:val="both"/>
              <w:rPr>
                <w:sz w:val="24"/>
              </w:rPr>
            </w:pPr>
            <w:r w:rsidRPr="00E876EC">
              <w:rPr>
                <w:sz w:val="24"/>
              </w:rPr>
              <w:t xml:space="preserve">Dominion Stores </w:t>
            </w:r>
          </w:p>
        </w:tc>
        <w:tc>
          <w:tcPr>
            <w:tcW w:w="2610" w:type="dxa"/>
          </w:tcPr>
          <w:p w14:paraId="11101762" w14:textId="77777777" w:rsidR="002775D9" w:rsidRPr="00E876EC" w:rsidRDefault="002775D9" w:rsidP="002775D9">
            <w:pPr>
              <w:ind w:firstLine="0"/>
              <w:jc w:val="both"/>
              <w:rPr>
                <w:sz w:val="24"/>
              </w:rPr>
            </w:pPr>
            <w:r w:rsidRPr="00E876EC">
              <w:rPr>
                <w:sz w:val="24"/>
              </w:rPr>
              <w:t>Provigo</w:t>
            </w:r>
          </w:p>
        </w:tc>
        <w:tc>
          <w:tcPr>
            <w:tcW w:w="2102" w:type="dxa"/>
          </w:tcPr>
          <w:p w14:paraId="315DBEC1" w14:textId="77777777" w:rsidR="002775D9" w:rsidRPr="00E876EC" w:rsidRDefault="002775D9" w:rsidP="002775D9">
            <w:pPr>
              <w:ind w:right="464" w:firstLine="0"/>
              <w:jc w:val="right"/>
              <w:rPr>
                <w:sz w:val="24"/>
              </w:rPr>
            </w:pPr>
            <w:r w:rsidRPr="00E876EC">
              <w:rPr>
                <w:sz w:val="24"/>
              </w:rPr>
              <w:t>100</w:t>
            </w:r>
          </w:p>
        </w:tc>
      </w:tr>
      <w:tr w:rsidR="002775D9" w:rsidRPr="00E876EC" w14:paraId="1678CB76" w14:textId="77777777">
        <w:tc>
          <w:tcPr>
            <w:tcW w:w="3348" w:type="dxa"/>
          </w:tcPr>
          <w:p w14:paraId="63294797" w14:textId="77777777" w:rsidR="002775D9" w:rsidRPr="00E876EC" w:rsidRDefault="002775D9" w:rsidP="002775D9">
            <w:pPr>
              <w:ind w:firstLine="0"/>
              <w:jc w:val="both"/>
              <w:rPr>
                <w:sz w:val="24"/>
              </w:rPr>
            </w:pPr>
            <w:r w:rsidRPr="00E876EC">
              <w:rPr>
                <w:sz w:val="24"/>
              </w:rPr>
              <w:t>Davie Shipbuilding</w:t>
            </w:r>
          </w:p>
        </w:tc>
        <w:tc>
          <w:tcPr>
            <w:tcW w:w="2610" w:type="dxa"/>
            <w:tcBorders>
              <w:bottom w:val="double" w:sz="4" w:space="0" w:color="auto"/>
            </w:tcBorders>
          </w:tcPr>
          <w:p w14:paraId="41AC63F7" w14:textId="77777777" w:rsidR="002775D9" w:rsidRPr="00E876EC" w:rsidRDefault="002775D9" w:rsidP="002775D9">
            <w:pPr>
              <w:ind w:firstLine="0"/>
              <w:jc w:val="both"/>
              <w:rPr>
                <w:sz w:val="24"/>
              </w:rPr>
            </w:pPr>
            <w:r w:rsidRPr="00E876EC">
              <w:rPr>
                <w:sz w:val="24"/>
              </w:rPr>
              <w:t>Dome</w:t>
            </w:r>
          </w:p>
        </w:tc>
        <w:tc>
          <w:tcPr>
            <w:tcW w:w="2102" w:type="dxa"/>
            <w:tcBorders>
              <w:bottom w:val="double" w:sz="4" w:space="0" w:color="auto"/>
            </w:tcBorders>
          </w:tcPr>
          <w:p w14:paraId="0D83DB17" w14:textId="77777777" w:rsidR="002775D9" w:rsidRPr="00E876EC" w:rsidRDefault="002775D9" w:rsidP="002775D9">
            <w:pPr>
              <w:ind w:right="464" w:firstLine="0"/>
              <w:jc w:val="right"/>
              <w:rPr>
                <w:sz w:val="24"/>
              </w:rPr>
            </w:pPr>
            <w:r w:rsidRPr="00E876EC">
              <w:rPr>
                <w:sz w:val="24"/>
              </w:rPr>
              <w:t>38</w:t>
            </w:r>
          </w:p>
        </w:tc>
      </w:tr>
      <w:tr w:rsidR="002775D9" w:rsidRPr="00E876EC" w14:paraId="587FB507" w14:textId="77777777">
        <w:tc>
          <w:tcPr>
            <w:tcW w:w="3348" w:type="dxa"/>
          </w:tcPr>
          <w:p w14:paraId="332239FF" w14:textId="77777777" w:rsidR="002775D9" w:rsidRPr="00E876EC" w:rsidRDefault="002775D9" w:rsidP="002775D9">
            <w:pPr>
              <w:spacing w:before="120" w:after="60"/>
              <w:ind w:firstLine="0"/>
              <w:jc w:val="both"/>
              <w:rPr>
                <w:sz w:val="24"/>
              </w:rPr>
            </w:pPr>
          </w:p>
        </w:tc>
        <w:tc>
          <w:tcPr>
            <w:tcW w:w="2610" w:type="dxa"/>
            <w:tcBorders>
              <w:top w:val="double" w:sz="4" w:space="0" w:color="auto"/>
              <w:bottom w:val="nil"/>
            </w:tcBorders>
          </w:tcPr>
          <w:p w14:paraId="4317B418" w14:textId="77777777" w:rsidR="002775D9" w:rsidRPr="00E876EC" w:rsidRDefault="002775D9" w:rsidP="002775D9">
            <w:pPr>
              <w:spacing w:before="120" w:after="60"/>
              <w:ind w:firstLine="0"/>
              <w:jc w:val="both"/>
              <w:rPr>
                <w:sz w:val="24"/>
              </w:rPr>
            </w:pPr>
            <w:r w:rsidRPr="00E876EC">
              <w:rPr>
                <w:sz w:val="24"/>
              </w:rPr>
              <w:t>SOUS-TOTAL</w:t>
            </w:r>
          </w:p>
        </w:tc>
        <w:tc>
          <w:tcPr>
            <w:tcW w:w="2102" w:type="dxa"/>
            <w:tcBorders>
              <w:top w:val="double" w:sz="4" w:space="0" w:color="auto"/>
              <w:bottom w:val="nil"/>
            </w:tcBorders>
          </w:tcPr>
          <w:p w14:paraId="7F64C8FE" w14:textId="77777777" w:rsidR="002775D9" w:rsidRPr="00E876EC" w:rsidRDefault="002775D9" w:rsidP="002775D9">
            <w:pPr>
              <w:spacing w:before="120" w:after="60"/>
              <w:ind w:right="464" w:firstLine="0"/>
              <w:jc w:val="right"/>
              <w:rPr>
                <w:sz w:val="24"/>
              </w:rPr>
            </w:pPr>
            <w:r w:rsidRPr="00E876EC">
              <w:rPr>
                <w:sz w:val="24"/>
              </w:rPr>
              <w:t>1915</w:t>
            </w:r>
          </w:p>
        </w:tc>
      </w:tr>
      <w:tr w:rsidR="002775D9" w:rsidRPr="00E876EC" w14:paraId="52789D87" w14:textId="77777777">
        <w:tc>
          <w:tcPr>
            <w:tcW w:w="3348" w:type="dxa"/>
            <w:shd w:val="clear" w:color="auto" w:fill="EEECE1"/>
          </w:tcPr>
          <w:p w14:paraId="3650B804" w14:textId="77777777" w:rsidR="002775D9" w:rsidRPr="00E876EC" w:rsidRDefault="002775D9" w:rsidP="002775D9">
            <w:pPr>
              <w:spacing w:before="120" w:after="120"/>
              <w:ind w:firstLine="0"/>
              <w:jc w:val="both"/>
              <w:rPr>
                <w:sz w:val="24"/>
              </w:rPr>
            </w:pPr>
            <w:r>
              <w:rPr>
                <w:sz w:val="24"/>
              </w:rPr>
              <w:t>Entreprises</w:t>
            </w:r>
            <w:r w:rsidRPr="00E876EC">
              <w:rPr>
                <w:sz w:val="24"/>
              </w:rPr>
              <w:t xml:space="preserve"> étrangères</w:t>
            </w:r>
          </w:p>
        </w:tc>
        <w:tc>
          <w:tcPr>
            <w:tcW w:w="2610" w:type="dxa"/>
            <w:tcBorders>
              <w:top w:val="nil"/>
            </w:tcBorders>
            <w:shd w:val="clear" w:color="auto" w:fill="EEECE1"/>
          </w:tcPr>
          <w:p w14:paraId="51B04F90" w14:textId="77777777" w:rsidR="002775D9" w:rsidRPr="00E876EC" w:rsidRDefault="002775D9" w:rsidP="002775D9">
            <w:pPr>
              <w:spacing w:before="120" w:after="120"/>
              <w:ind w:firstLine="0"/>
              <w:jc w:val="both"/>
              <w:rPr>
                <w:sz w:val="24"/>
              </w:rPr>
            </w:pPr>
          </w:p>
        </w:tc>
        <w:tc>
          <w:tcPr>
            <w:tcW w:w="2102" w:type="dxa"/>
            <w:tcBorders>
              <w:top w:val="nil"/>
            </w:tcBorders>
            <w:shd w:val="clear" w:color="auto" w:fill="EEECE1"/>
          </w:tcPr>
          <w:p w14:paraId="73E9268B" w14:textId="77777777" w:rsidR="002775D9" w:rsidRPr="00E876EC" w:rsidRDefault="002775D9" w:rsidP="002775D9">
            <w:pPr>
              <w:spacing w:before="120" w:after="120"/>
              <w:ind w:right="464" w:firstLine="0"/>
              <w:jc w:val="right"/>
              <w:rPr>
                <w:sz w:val="24"/>
              </w:rPr>
            </w:pPr>
          </w:p>
        </w:tc>
      </w:tr>
      <w:tr w:rsidR="002775D9" w:rsidRPr="00E876EC" w14:paraId="336B7B86" w14:textId="77777777">
        <w:tc>
          <w:tcPr>
            <w:tcW w:w="3348" w:type="dxa"/>
          </w:tcPr>
          <w:p w14:paraId="784027C5" w14:textId="77777777" w:rsidR="002775D9" w:rsidRPr="00E876EC" w:rsidRDefault="002775D9" w:rsidP="002775D9">
            <w:pPr>
              <w:spacing w:before="60"/>
              <w:ind w:firstLine="0"/>
              <w:jc w:val="both"/>
              <w:rPr>
                <w:sz w:val="24"/>
              </w:rPr>
            </w:pPr>
            <w:r>
              <w:rPr>
                <w:sz w:val="24"/>
              </w:rPr>
              <w:t>Flagship Banks</w:t>
            </w:r>
          </w:p>
        </w:tc>
        <w:tc>
          <w:tcPr>
            <w:tcW w:w="2610" w:type="dxa"/>
          </w:tcPr>
          <w:p w14:paraId="5042A7B4" w14:textId="77777777" w:rsidR="002775D9" w:rsidRPr="00E876EC" w:rsidRDefault="002775D9" w:rsidP="002775D9">
            <w:pPr>
              <w:spacing w:before="60"/>
              <w:ind w:firstLine="0"/>
              <w:jc w:val="both"/>
              <w:rPr>
                <w:sz w:val="24"/>
              </w:rPr>
            </w:pPr>
            <w:r>
              <w:rPr>
                <w:sz w:val="24"/>
              </w:rPr>
              <w:t>Royal Trust</w:t>
            </w:r>
          </w:p>
        </w:tc>
        <w:tc>
          <w:tcPr>
            <w:tcW w:w="2102" w:type="dxa"/>
          </w:tcPr>
          <w:p w14:paraId="2828770A" w14:textId="77777777" w:rsidR="002775D9" w:rsidRPr="00E876EC" w:rsidRDefault="002775D9" w:rsidP="002775D9">
            <w:pPr>
              <w:spacing w:before="60"/>
              <w:ind w:right="464" w:firstLine="0"/>
              <w:jc w:val="right"/>
              <w:rPr>
                <w:sz w:val="24"/>
              </w:rPr>
            </w:pPr>
            <w:r>
              <w:rPr>
                <w:sz w:val="24"/>
              </w:rPr>
              <w:t>360</w:t>
            </w:r>
          </w:p>
        </w:tc>
      </w:tr>
      <w:tr w:rsidR="002775D9" w:rsidRPr="00E876EC" w14:paraId="684D0E9B" w14:textId="77777777">
        <w:tc>
          <w:tcPr>
            <w:tcW w:w="3348" w:type="dxa"/>
          </w:tcPr>
          <w:p w14:paraId="3D6E82B2" w14:textId="77777777" w:rsidR="002775D9" w:rsidRPr="00E876EC" w:rsidRDefault="002775D9" w:rsidP="002775D9">
            <w:pPr>
              <w:spacing w:before="120" w:after="60"/>
              <w:ind w:firstLine="0"/>
              <w:jc w:val="both"/>
              <w:rPr>
                <w:sz w:val="24"/>
              </w:rPr>
            </w:pPr>
          </w:p>
        </w:tc>
        <w:tc>
          <w:tcPr>
            <w:tcW w:w="2610" w:type="dxa"/>
            <w:tcBorders>
              <w:top w:val="double" w:sz="4" w:space="0" w:color="auto"/>
              <w:bottom w:val="nil"/>
            </w:tcBorders>
          </w:tcPr>
          <w:p w14:paraId="5398B749" w14:textId="77777777" w:rsidR="002775D9" w:rsidRPr="00E876EC" w:rsidRDefault="002775D9" w:rsidP="002775D9">
            <w:pPr>
              <w:spacing w:before="120" w:after="60"/>
              <w:ind w:firstLine="0"/>
              <w:jc w:val="both"/>
              <w:rPr>
                <w:sz w:val="24"/>
              </w:rPr>
            </w:pPr>
            <w:r w:rsidRPr="00E876EC">
              <w:rPr>
                <w:sz w:val="24"/>
              </w:rPr>
              <w:t>SOUS-TOTAL</w:t>
            </w:r>
          </w:p>
        </w:tc>
        <w:tc>
          <w:tcPr>
            <w:tcW w:w="2102" w:type="dxa"/>
            <w:tcBorders>
              <w:top w:val="double" w:sz="4" w:space="0" w:color="auto"/>
              <w:bottom w:val="nil"/>
            </w:tcBorders>
          </w:tcPr>
          <w:p w14:paraId="24BC5672" w14:textId="77777777" w:rsidR="002775D9" w:rsidRPr="00E876EC" w:rsidRDefault="002775D9" w:rsidP="002775D9">
            <w:pPr>
              <w:spacing w:before="120" w:after="60"/>
              <w:ind w:right="464" w:firstLine="0"/>
              <w:jc w:val="right"/>
              <w:rPr>
                <w:sz w:val="24"/>
              </w:rPr>
            </w:pPr>
            <w:r>
              <w:rPr>
                <w:sz w:val="24"/>
              </w:rPr>
              <w:t>360</w:t>
            </w:r>
          </w:p>
        </w:tc>
      </w:tr>
      <w:tr w:rsidR="002775D9" w:rsidRPr="00E876EC" w14:paraId="1E3351D9" w14:textId="77777777">
        <w:tc>
          <w:tcPr>
            <w:tcW w:w="3348" w:type="dxa"/>
            <w:shd w:val="clear" w:color="auto" w:fill="EEECE1"/>
          </w:tcPr>
          <w:p w14:paraId="6F363D2D" w14:textId="77777777" w:rsidR="002775D9" w:rsidRPr="00E876EC" w:rsidRDefault="002775D9" w:rsidP="002775D9">
            <w:pPr>
              <w:spacing w:before="120" w:after="120"/>
              <w:ind w:firstLine="0"/>
              <w:jc w:val="both"/>
              <w:rPr>
                <w:sz w:val="24"/>
              </w:rPr>
            </w:pPr>
            <w:r w:rsidRPr="00E876EC">
              <w:rPr>
                <w:sz w:val="24"/>
              </w:rPr>
              <w:t>Filiales de sociétés étrangères</w:t>
            </w:r>
          </w:p>
        </w:tc>
        <w:tc>
          <w:tcPr>
            <w:tcW w:w="2610" w:type="dxa"/>
            <w:tcBorders>
              <w:top w:val="nil"/>
            </w:tcBorders>
            <w:shd w:val="clear" w:color="auto" w:fill="EEECE1"/>
          </w:tcPr>
          <w:p w14:paraId="0ED5E4A2" w14:textId="77777777" w:rsidR="002775D9" w:rsidRPr="00E876EC" w:rsidRDefault="002775D9" w:rsidP="002775D9">
            <w:pPr>
              <w:spacing w:before="120" w:after="120"/>
              <w:ind w:firstLine="0"/>
              <w:jc w:val="both"/>
              <w:rPr>
                <w:sz w:val="24"/>
              </w:rPr>
            </w:pPr>
          </w:p>
        </w:tc>
        <w:tc>
          <w:tcPr>
            <w:tcW w:w="2102" w:type="dxa"/>
            <w:tcBorders>
              <w:top w:val="nil"/>
            </w:tcBorders>
            <w:shd w:val="clear" w:color="auto" w:fill="EEECE1"/>
          </w:tcPr>
          <w:p w14:paraId="3EB0C2F0" w14:textId="77777777" w:rsidR="002775D9" w:rsidRPr="00E876EC" w:rsidRDefault="002775D9" w:rsidP="002775D9">
            <w:pPr>
              <w:spacing w:before="120" w:after="120"/>
              <w:ind w:right="464" w:firstLine="0"/>
              <w:jc w:val="right"/>
              <w:rPr>
                <w:sz w:val="24"/>
              </w:rPr>
            </w:pPr>
          </w:p>
        </w:tc>
      </w:tr>
      <w:tr w:rsidR="002775D9" w:rsidRPr="00E876EC" w14:paraId="52F0EEFE" w14:textId="77777777">
        <w:tc>
          <w:tcPr>
            <w:tcW w:w="3348" w:type="dxa"/>
          </w:tcPr>
          <w:p w14:paraId="31D7B173" w14:textId="77777777" w:rsidR="002775D9" w:rsidRPr="00E876EC" w:rsidRDefault="002775D9" w:rsidP="002775D9">
            <w:pPr>
              <w:spacing w:before="120"/>
              <w:ind w:firstLine="0"/>
              <w:jc w:val="both"/>
              <w:rPr>
                <w:sz w:val="24"/>
              </w:rPr>
            </w:pPr>
            <w:r w:rsidRPr="00E876EC">
              <w:rPr>
                <w:sz w:val="24"/>
              </w:rPr>
              <w:t>Hudson’s Bay Oil and Gaz</w:t>
            </w:r>
          </w:p>
        </w:tc>
        <w:tc>
          <w:tcPr>
            <w:tcW w:w="2610" w:type="dxa"/>
          </w:tcPr>
          <w:p w14:paraId="3ABF446C" w14:textId="77777777" w:rsidR="002775D9" w:rsidRPr="00E876EC" w:rsidRDefault="002775D9" w:rsidP="002775D9">
            <w:pPr>
              <w:spacing w:before="120"/>
              <w:ind w:firstLine="0"/>
              <w:jc w:val="both"/>
              <w:rPr>
                <w:sz w:val="24"/>
              </w:rPr>
            </w:pPr>
            <w:r w:rsidRPr="00E876EC">
              <w:rPr>
                <w:sz w:val="24"/>
              </w:rPr>
              <w:t>Dome</w:t>
            </w:r>
          </w:p>
        </w:tc>
        <w:tc>
          <w:tcPr>
            <w:tcW w:w="2102" w:type="dxa"/>
          </w:tcPr>
          <w:p w14:paraId="56B0AD30" w14:textId="77777777" w:rsidR="002775D9" w:rsidRPr="00E876EC" w:rsidRDefault="002775D9" w:rsidP="002775D9">
            <w:pPr>
              <w:spacing w:before="120"/>
              <w:ind w:right="464" w:firstLine="0"/>
              <w:jc w:val="right"/>
              <w:rPr>
                <w:sz w:val="24"/>
              </w:rPr>
            </w:pPr>
            <w:r w:rsidRPr="00E876EC">
              <w:rPr>
                <w:sz w:val="24"/>
              </w:rPr>
              <w:t>1680</w:t>
            </w:r>
          </w:p>
        </w:tc>
      </w:tr>
      <w:tr w:rsidR="002775D9" w:rsidRPr="00E876EC" w14:paraId="4B0F9911" w14:textId="77777777">
        <w:tc>
          <w:tcPr>
            <w:tcW w:w="3348" w:type="dxa"/>
          </w:tcPr>
          <w:p w14:paraId="000D56FA" w14:textId="77777777" w:rsidR="002775D9" w:rsidRPr="00E876EC" w:rsidRDefault="002775D9" w:rsidP="002775D9">
            <w:pPr>
              <w:ind w:firstLine="0"/>
              <w:jc w:val="both"/>
              <w:rPr>
                <w:sz w:val="24"/>
              </w:rPr>
            </w:pPr>
            <w:r w:rsidRPr="00E876EC">
              <w:rPr>
                <w:sz w:val="24"/>
              </w:rPr>
              <w:t>Petrofina</w:t>
            </w:r>
          </w:p>
        </w:tc>
        <w:tc>
          <w:tcPr>
            <w:tcW w:w="2610" w:type="dxa"/>
          </w:tcPr>
          <w:p w14:paraId="1ACE59FD" w14:textId="77777777" w:rsidR="002775D9" w:rsidRPr="00E876EC" w:rsidRDefault="002775D9" w:rsidP="002775D9">
            <w:pPr>
              <w:ind w:firstLine="0"/>
              <w:jc w:val="both"/>
              <w:rPr>
                <w:sz w:val="24"/>
              </w:rPr>
            </w:pPr>
            <w:r w:rsidRPr="00E876EC">
              <w:rPr>
                <w:sz w:val="24"/>
              </w:rPr>
              <w:t>Pétro-Canada</w:t>
            </w:r>
          </w:p>
        </w:tc>
        <w:tc>
          <w:tcPr>
            <w:tcW w:w="2102" w:type="dxa"/>
          </w:tcPr>
          <w:p w14:paraId="795EF5FB" w14:textId="77777777" w:rsidR="002775D9" w:rsidRPr="00E876EC" w:rsidRDefault="002775D9" w:rsidP="002775D9">
            <w:pPr>
              <w:ind w:right="464" w:firstLine="0"/>
              <w:jc w:val="right"/>
              <w:rPr>
                <w:sz w:val="24"/>
              </w:rPr>
            </w:pPr>
            <w:r w:rsidRPr="00E876EC">
              <w:rPr>
                <w:sz w:val="24"/>
              </w:rPr>
              <w:t>1460</w:t>
            </w:r>
          </w:p>
        </w:tc>
      </w:tr>
      <w:tr w:rsidR="002775D9" w:rsidRPr="00E876EC" w14:paraId="2012B753" w14:textId="77777777">
        <w:tc>
          <w:tcPr>
            <w:tcW w:w="3348" w:type="dxa"/>
          </w:tcPr>
          <w:p w14:paraId="306FF6D2" w14:textId="77777777" w:rsidR="002775D9" w:rsidRPr="00E876EC" w:rsidRDefault="002775D9" w:rsidP="002775D9">
            <w:pPr>
              <w:ind w:firstLine="0"/>
              <w:jc w:val="both"/>
              <w:rPr>
                <w:sz w:val="24"/>
              </w:rPr>
            </w:pPr>
            <w:r w:rsidRPr="00E876EC">
              <w:rPr>
                <w:sz w:val="24"/>
              </w:rPr>
              <w:t>Canadian internat. Paper (CIP)</w:t>
            </w:r>
          </w:p>
        </w:tc>
        <w:tc>
          <w:tcPr>
            <w:tcW w:w="2610" w:type="dxa"/>
          </w:tcPr>
          <w:p w14:paraId="525CA15E" w14:textId="77777777" w:rsidR="002775D9" w:rsidRPr="00E876EC" w:rsidRDefault="002775D9" w:rsidP="002775D9">
            <w:pPr>
              <w:ind w:firstLine="0"/>
              <w:jc w:val="both"/>
              <w:rPr>
                <w:sz w:val="24"/>
              </w:rPr>
            </w:pPr>
            <w:r w:rsidRPr="00E876EC">
              <w:rPr>
                <w:sz w:val="24"/>
              </w:rPr>
              <w:t>C.P.</w:t>
            </w:r>
          </w:p>
        </w:tc>
        <w:tc>
          <w:tcPr>
            <w:tcW w:w="2102" w:type="dxa"/>
          </w:tcPr>
          <w:p w14:paraId="46A76D23" w14:textId="77777777" w:rsidR="002775D9" w:rsidRPr="00E876EC" w:rsidRDefault="002775D9" w:rsidP="002775D9">
            <w:pPr>
              <w:ind w:right="464" w:firstLine="0"/>
              <w:jc w:val="right"/>
              <w:rPr>
                <w:sz w:val="24"/>
              </w:rPr>
            </w:pPr>
            <w:r w:rsidRPr="00E876EC">
              <w:rPr>
                <w:sz w:val="24"/>
              </w:rPr>
              <w:t>1100</w:t>
            </w:r>
          </w:p>
        </w:tc>
      </w:tr>
      <w:tr w:rsidR="002775D9" w:rsidRPr="00E876EC" w14:paraId="1C282D0B" w14:textId="77777777">
        <w:tc>
          <w:tcPr>
            <w:tcW w:w="3348" w:type="dxa"/>
          </w:tcPr>
          <w:p w14:paraId="090FBC4E" w14:textId="77777777" w:rsidR="002775D9" w:rsidRPr="00E876EC" w:rsidRDefault="002775D9" w:rsidP="002775D9">
            <w:pPr>
              <w:ind w:firstLine="0"/>
              <w:jc w:val="both"/>
              <w:rPr>
                <w:sz w:val="24"/>
              </w:rPr>
            </w:pPr>
            <w:r w:rsidRPr="00E876EC">
              <w:rPr>
                <w:sz w:val="24"/>
              </w:rPr>
              <w:t>Kaiser Resource</w:t>
            </w:r>
          </w:p>
        </w:tc>
        <w:tc>
          <w:tcPr>
            <w:tcW w:w="2610" w:type="dxa"/>
          </w:tcPr>
          <w:p w14:paraId="3BB7A4F3" w14:textId="77777777" w:rsidR="002775D9" w:rsidRPr="00E876EC" w:rsidRDefault="002775D9" w:rsidP="002775D9">
            <w:pPr>
              <w:ind w:firstLine="0"/>
              <w:jc w:val="both"/>
              <w:rPr>
                <w:sz w:val="24"/>
              </w:rPr>
            </w:pPr>
            <w:r w:rsidRPr="00E876EC">
              <w:rPr>
                <w:sz w:val="24"/>
              </w:rPr>
              <w:t>BCRIC</w:t>
            </w:r>
          </w:p>
        </w:tc>
        <w:tc>
          <w:tcPr>
            <w:tcW w:w="2102" w:type="dxa"/>
          </w:tcPr>
          <w:p w14:paraId="0F3FC2FD" w14:textId="77777777" w:rsidR="002775D9" w:rsidRPr="00E876EC" w:rsidRDefault="002775D9" w:rsidP="002775D9">
            <w:pPr>
              <w:ind w:right="464" w:firstLine="0"/>
              <w:jc w:val="right"/>
              <w:rPr>
                <w:sz w:val="24"/>
              </w:rPr>
            </w:pPr>
            <w:r w:rsidRPr="00E876EC">
              <w:rPr>
                <w:sz w:val="24"/>
              </w:rPr>
              <w:t>664</w:t>
            </w:r>
          </w:p>
        </w:tc>
      </w:tr>
      <w:tr w:rsidR="002775D9" w:rsidRPr="00E876EC" w14:paraId="1FEB5D2A" w14:textId="77777777">
        <w:tc>
          <w:tcPr>
            <w:tcW w:w="3348" w:type="dxa"/>
          </w:tcPr>
          <w:p w14:paraId="4C54BD43" w14:textId="77777777" w:rsidR="002775D9" w:rsidRPr="00E876EC" w:rsidRDefault="002775D9" w:rsidP="002775D9">
            <w:pPr>
              <w:ind w:firstLine="0"/>
              <w:jc w:val="both"/>
              <w:rPr>
                <w:sz w:val="24"/>
              </w:rPr>
            </w:pPr>
            <w:r w:rsidRPr="00E876EC">
              <w:rPr>
                <w:sz w:val="24"/>
              </w:rPr>
              <w:t>Candel oil</w:t>
            </w:r>
          </w:p>
        </w:tc>
        <w:tc>
          <w:tcPr>
            <w:tcW w:w="2610" w:type="dxa"/>
          </w:tcPr>
          <w:p w14:paraId="69ED8B01" w14:textId="77777777" w:rsidR="002775D9" w:rsidRPr="00E876EC" w:rsidRDefault="002775D9" w:rsidP="002775D9">
            <w:pPr>
              <w:ind w:firstLine="0"/>
              <w:jc w:val="both"/>
              <w:rPr>
                <w:sz w:val="24"/>
              </w:rPr>
            </w:pPr>
            <w:r w:rsidRPr="00E876EC">
              <w:rPr>
                <w:sz w:val="24"/>
              </w:rPr>
              <w:t>Sulpetro</w:t>
            </w:r>
          </w:p>
        </w:tc>
        <w:tc>
          <w:tcPr>
            <w:tcW w:w="2102" w:type="dxa"/>
          </w:tcPr>
          <w:p w14:paraId="58FA9322" w14:textId="77777777" w:rsidR="002775D9" w:rsidRPr="00E876EC" w:rsidRDefault="002775D9" w:rsidP="002775D9">
            <w:pPr>
              <w:ind w:right="464" w:firstLine="0"/>
              <w:jc w:val="right"/>
              <w:rPr>
                <w:sz w:val="24"/>
              </w:rPr>
            </w:pPr>
            <w:r w:rsidRPr="00E876EC">
              <w:rPr>
                <w:sz w:val="24"/>
              </w:rPr>
              <w:t>546</w:t>
            </w:r>
          </w:p>
        </w:tc>
      </w:tr>
      <w:tr w:rsidR="002775D9" w:rsidRPr="00E876EC" w14:paraId="16476D56" w14:textId="77777777">
        <w:tc>
          <w:tcPr>
            <w:tcW w:w="3348" w:type="dxa"/>
          </w:tcPr>
          <w:p w14:paraId="2361D79F" w14:textId="77777777" w:rsidR="002775D9" w:rsidRPr="00E876EC" w:rsidRDefault="002775D9" w:rsidP="002775D9">
            <w:pPr>
              <w:ind w:firstLine="0"/>
              <w:jc w:val="both"/>
              <w:rPr>
                <w:sz w:val="24"/>
              </w:rPr>
            </w:pPr>
            <w:r w:rsidRPr="00E876EC">
              <w:rPr>
                <w:sz w:val="24"/>
              </w:rPr>
              <w:t>Shell Explorer</w:t>
            </w:r>
          </w:p>
        </w:tc>
        <w:tc>
          <w:tcPr>
            <w:tcW w:w="2610" w:type="dxa"/>
          </w:tcPr>
          <w:p w14:paraId="7B99AD8C" w14:textId="77777777" w:rsidR="002775D9" w:rsidRPr="00E876EC" w:rsidRDefault="002775D9" w:rsidP="002775D9">
            <w:pPr>
              <w:ind w:firstLine="0"/>
              <w:jc w:val="both"/>
              <w:rPr>
                <w:sz w:val="24"/>
              </w:rPr>
            </w:pPr>
            <w:r w:rsidRPr="00E876EC">
              <w:rPr>
                <w:sz w:val="24"/>
              </w:rPr>
              <w:t>Husky</w:t>
            </w:r>
          </w:p>
        </w:tc>
        <w:tc>
          <w:tcPr>
            <w:tcW w:w="2102" w:type="dxa"/>
          </w:tcPr>
          <w:p w14:paraId="51A3DC4E" w14:textId="77777777" w:rsidR="002775D9" w:rsidRPr="00E876EC" w:rsidRDefault="002775D9" w:rsidP="002775D9">
            <w:pPr>
              <w:ind w:right="464" w:firstLine="0"/>
              <w:jc w:val="right"/>
              <w:rPr>
                <w:sz w:val="24"/>
              </w:rPr>
            </w:pPr>
            <w:r w:rsidRPr="00E876EC">
              <w:rPr>
                <w:sz w:val="24"/>
              </w:rPr>
              <w:t>430</w:t>
            </w:r>
          </w:p>
        </w:tc>
      </w:tr>
      <w:tr w:rsidR="002775D9" w:rsidRPr="00E876EC" w14:paraId="17349EE6" w14:textId="77777777">
        <w:tc>
          <w:tcPr>
            <w:tcW w:w="3348" w:type="dxa"/>
          </w:tcPr>
          <w:p w14:paraId="4D3A3D48" w14:textId="77777777" w:rsidR="002775D9" w:rsidRPr="00E876EC" w:rsidRDefault="002775D9" w:rsidP="002775D9">
            <w:pPr>
              <w:ind w:firstLine="0"/>
              <w:jc w:val="both"/>
              <w:rPr>
                <w:sz w:val="24"/>
              </w:rPr>
            </w:pPr>
            <w:r w:rsidRPr="00E876EC">
              <w:rPr>
                <w:sz w:val="24"/>
              </w:rPr>
              <w:t>UNO-TEK Petroleum</w:t>
            </w:r>
          </w:p>
        </w:tc>
        <w:tc>
          <w:tcPr>
            <w:tcW w:w="2610" w:type="dxa"/>
          </w:tcPr>
          <w:p w14:paraId="4E4DC01B" w14:textId="77777777" w:rsidR="002775D9" w:rsidRPr="00E876EC" w:rsidRDefault="002775D9" w:rsidP="002775D9">
            <w:pPr>
              <w:ind w:firstLine="0"/>
              <w:jc w:val="both"/>
              <w:rPr>
                <w:sz w:val="24"/>
              </w:rPr>
            </w:pPr>
            <w:r w:rsidRPr="00E876EC">
              <w:rPr>
                <w:sz w:val="24"/>
              </w:rPr>
              <w:t>Husky</w:t>
            </w:r>
          </w:p>
        </w:tc>
        <w:tc>
          <w:tcPr>
            <w:tcW w:w="2102" w:type="dxa"/>
          </w:tcPr>
          <w:p w14:paraId="17CFBA8E" w14:textId="77777777" w:rsidR="002775D9" w:rsidRPr="00E876EC" w:rsidRDefault="002775D9" w:rsidP="002775D9">
            <w:pPr>
              <w:ind w:right="464" w:firstLine="0"/>
              <w:jc w:val="right"/>
              <w:rPr>
                <w:sz w:val="24"/>
              </w:rPr>
            </w:pPr>
            <w:r w:rsidRPr="00E876EC">
              <w:rPr>
                <w:sz w:val="24"/>
              </w:rPr>
              <w:t>371</w:t>
            </w:r>
          </w:p>
        </w:tc>
      </w:tr>
      <w:tr w:rsidR="002775D9" w:rsidRPr="00E876EC" w14:paraId="0A8522BC" w14:textId="77777777">
        <w:tc>
          <w:tcPr>
            <w:tcW w:w="3348" w:type="dxa"/>
          </w:tcPr>
          <w:p w14:paraId="58C091B4" w14:textId="77777777" w:rsidR="002775D9" w:rsidRPr="00E876EC" w:rsidRDefault="002775D9" w:rsidP="002775D9">
            <w:pPr>
              <w:ind w:firstLine="0"/>
              <w:jc w:val="both"/>
              <w:rPr>
                <w:sz w:val="24"/>
              </w:rPr>
            </w:pPr>
            <w:r w:rsidRPr="00E876EC">
              <w:rPr>
                <w:sz w:val="24"/>
              </w:rPr>
              <w:t>Cities Service</w:t>
            </w:r>
          </w:p>
        </w:tc>
        <w:tc>
          <w:tcPr>
            <w:tcW w:w="2610" w:type="dxa"/>
          </w:tcPr>
          <w:p w14:paraId="6EA29069" w14:textId="77777777" w:rsidR="002775D9" w:rsidRPr="00E876EC" w:rsidRDefault="002775D9" w:rsidP="002775D9">
            <w:pPr>
              <w:ind w:firstLine="0"/>
              <w:jc w:val="both"/>
              <w:rPr>
                <w:sz w:val="24"/>
              </w:rPr>
            </w:pPr>
            <w:r w:rsidRPr="00E876EC">
              <w:rPr>
                <w:sz w:val="24"/>
              </w:rPr>
              <w:t>Nu-West</w:t>
            </w:r>
          </w:p>
        </w:tc>
        <w:tc>
          <w:tcPr>
            <w:tcW w:w="2102" w:type="dxa"/>
          </w:tcPr>
          <w:p w14:paraId="6D8B0D2B" w14:textId="77777777" w:rsidR="002775D9" w:rsidRPr="00E876EC" w:rsidRDefault="002775D9" w:rsidP="002775D9">
            <w:pPr>
              <w:ind w:right="464" w:firstLine="0"/>
              <w:jc w:val="right"/>
              <w:rPr>
                <w:sz w:val="24"/>
              </w:rPr>
            </w:pPr>
            <w:r w:rsidRPr="00E876EC">
              <w:rPr>
                <w:sz w:val="24"/>
              </w:rPr>
              <w:t>247</w:t>
            </w:r>
          </w:p>
        </w:tc>
      </w:tr>
      <w:tr w:rsidR="002775D9" w:rsidRPr="00E876EC" w14:paraId="0E989E64" w14:textId="77777777">
        <w:tc>
          <w:tcPr>
            <w:tcW w:w="3348" w:type="dxa"/>
          </w:tcPr>
          <w:p w14:paraId="3092405E" w14:textId="77777777" w:rsidR="002775D9" w:rsidRPr="00E876EC" w:rsidRDefault="002775D9" w:rsidP="002775D9">
            <w:pPr>
              <w:ind w:firstLine="0"/>
              <w:jc w:val="both"/>
              <w:rPr>
                <w:sz w:val="24"/>
              </w:rPr>
            </w:pPr>
            <w:r w:rsidRPr="00E876EC">
              <w:rPr>
                <w:sz w:val="24"/>
              </w:rPr>
              <w:t>Kissinger Petroleum</w:t>
            </w:r>
          </w:p>
        </w:tc>
        <w:tc>
          <w:tcPr>
            <w:tcW w:w="2610" w:type="dxa"/>
          </w:tcPr>
          <w:p w14:paraId="75BC2738" w14:textId="77777777" w:rsidR="002775D9" w:rsidRPr="00E876EC" w:rsidRDefault="002775D9" w:rsidP="002775D9">
            <w:pPr>
              <w:ind w:firstLine="0"/>
              <w:jc w:val="both"/>
              <w:rPr>
                <w:sz w:val="24"/>
              </w:rPr>
            </w:pPr>
            <w:r w:rsidRPr="00E876EC">
              <w:rPr>
                <w:sz w:val="24"/>
              </w:rPr>
              <w:t>Ranger Oil</w:t>
            </w:r>
          </w:p>
        </w:tc>
        <w:tc>
          <w:tcPr>
            <w:tcW w:w="2102" w:type="dxa"/>
            <w:tcBorders>
              <w:bottom w:val="double" w:sz="4" w:space="0" w:color="auto"/>
            </w:tcBorders>
          </w:tcPr>
          <w:p w14:paraId="4E397DB6" w14:textId="77777777" w:rsidR="002775D9" w:rsidRPr="00E876EC" w:rsidRDefault="002775D9" w:rsidP="002775D9">
            <w:pPr>
              <w:ind w:right="464" w:firstLine="0"/>
              <w:jc w:val="right"/>
              <w:rPr>
                <w:sz w:val="24"/>
              </w:rPr>
            </w:pPr>
            <w:r w:rsidRPr="00E876EC">
              <w:rPr>
                <w:sz w:val="24"/>
              </w:rPr>
              <w:t>54</w:t>
            </w:r>
          </w:p>
        </w:tc>
      </w:tr>
      <w:tr w:rsidR="002775D9" w:rsidRPr="00E876EC" w14:paraId="62C74D40" w14:textId="77777777">
        <w:tc>
          <w:tcPr>
            <w:tcW w:w="3348" w:type="dxa"/>
          </w:tcPr>
          <w:p w14:paraId="10010BB1" w14:textId="77777777" w:rsidR="002775D9" w:rsidRPr="00E876EC" w:rsidRDefault="002775D9" w:rsidP="002775D9">
            <w:pPr>
              <w:spacing w:before="120"/>
              <w:ind w:firstLine="0"/>
              <w:jc w:val="both"/>
              <w:rPr>
                <w:sz w:val="24"/>
              </w:rPr>
            </w:pPr>
          </w:p>
        </w:tc>
        <w:tc>
          <w:tcPr>
            <w:tcW w:w="2610" w:type="dxa"/>
          </w:tcPr>
          <w:p w14:paraId="132A42F8" w14:textId="77777777" w:rsidR="002775D9" w:rsidRPr="00E876EC" w:rsidRDefault="002775D9" w:rsidP="002775D9">
            <w:pPr>
              <w:spacing w:before="120"/>
              <w:ind w:firstLine="0"/>
              <w:jc w:val="both"/>
              <w:rPr>
                <w:sz w:val="24"/>
              </w:rPr>
            </w:pPr>
            <w:r w:rsidRPr="00E876EC">
              <w:rPr>
                <w:sz w:val="24"/>
              </w:rPr>
              <w:t>SOUS-TOTAL</w:t>
            </w:r>
          </w:p>
        </w:tc>
        <w:tc>
          <w:tcPr>
            <w:tcW w:w="2102" w:type="dxa"/>
            <w:tcBorders>
              <w:top w:val="double" w:sz="4" w:space="0" w:color="auto"/>
              <w:bottom w:val="nil"/>
            </w:tcBorders>
          </w:tcPr>
          <w:p w14:paraId="5757EA60" w14:textId="77777777" w:rsidR="002775D9" w:rsidRPr="00E876EC" w:rsidRDefault="002775D9" w:rsidP="002775D9">
            <w:pPr>
              <w:spacing w:before="120"/>
              <w:ind w:right="464" w:firstLine="0"/>
              <w:jc w:val="right"/>
              <w:rPr>
                <w:sz w:val="24"/>
              </w:rPr>
            </w:pPr>
            <w:r w:rsidRPr="00E876EC">
              <w:rPr>
                <w:sz w:val="24"/>
              </w:rPr>
              <w:t>6552</w:t>
            </w:r>
          </w:p>
        </w:tc>
      </w:tr>
      <w:tr w:rsidR="002775D9" w:rsidRPr="00E876EC" w14:paraId="4F7D58D6" w14:textId="77777777">
        <w:tc>
          <w:tcPr>
            <w:tcW w:w="3348" w:type="dxa"/>
          </w:tcPr>
          <w:p w14:paraId="12EB6B11" w14:textId="77777777" w:rsidR="002775D9" w:rsidRPr="00E876EC" w:rsidRDefault="002775D9" w:rsidP="002775D9">
            <w:pPr>
              <w:ind w:firstLine="0"/>
              <w:jc w:val="both"/>
              <w:rPr>
                <w:sz w:val="24"/>
              </w:rPr>
            </w:pPr>
          </w:p>
        </w:tc>
        <w:tc>
          <w:tcPr>
            <w:tcW w:w="2610" w:type="dxa"/>
            <w:tcBorders>
              <w:bottom w:val="double" w:sz="4" w:space="0" w:color="auto"/>
            </w:tcBorders>
          </w:tcPr>
          <w:p w14:paraId="6C772458" w14:textId="77777777" w:rsidR="002775D9" w:rsidRPr="00E876EC" w:rsidRDefault="002775D9" w:rsidP="002775D9">
            <w:pPr>
              <w:ind w:firstLine="0"/>
              <w:jc w:val="both"/>
              <w:rPr>
                <w:sz w:val="24"/>
              </w:rPr>
            </w:pPr>
          </w:p>
        </w:tc>
        <w:tc>
          <w:tcPr>
            <w:tcW w:w="2102" w:type="dxa"/>
            <w:tcBorders>
              <w:top w:val="nil"/>
              <w:bottom w:val="double" w:sz="4" w:space="0" w:color="auto"/>
            </w:tcBorders>
          </w:tcPr>
          <w:p w14:paraId="31BA3483" w14:textId="77777777" w:rsidR="002775D9" w:rsidRPr="00E876EC" w:rsidRDefault="002775D9" w:rsidP="002775D9">
            <w:pPr>
              <w:ind w:right="464" w:firstLine="0"/>
              <w:jc w:val="right"/>
              <w:rPr>
                <w:sz w:val="24"/>
              </w:rPr>
            </w:pPr>
          </w:p>
        </w:tc>
      </w:tr>
      <w:tr w:rsidR="002775D9" w:rsidRPr="00E876EC" w14:paraId="248A7108" w14:textId="77777777">
        <w:tc>
          <w:tcPr>
            <w:tcW w:w="3348" w:type="dxa"/>
          </w:tcPr>
          <w:p w14:paraId="16C5DC04" w14:textId="77777777" w:rsidR="002775D9" w:rsidRPr="00E876EC" w:rsidRDefault="002775D9" w:rsidP="002775D9">
            <w:pPr>
              <w:spacing w:before="120" w:after="120"/>
              <w:ind w:firstLine="0"/>
              <w:jc w:val="both"/>
              <w:rPr>
                <w:sz w:val="24"/>
              </w:rPr>
            </w:pPr>
          </w:p>
        </w:tc>
        <w:tc>
          <w:tcPr>
            <w:tcW w:w="2610" w:type="dxa"/>
            <w:tcBorders>
              <w:top w:val="double" w:sz="4" w:space="0" w:color="auto"/>
              <w:bottom w:val="single" w:sz="12" w:space="0" w:color="auto"/>
            </w:tcBorders>
          </w:tcPr>
          <w:p w14:paraId="3F9649DD" w14:textId="77777777" w:rsidR="002775D9" w:rsidRPr="00E876EC" w:rsidRDefault="002775D9" w:rsidP="002775D9">
            <w:pPr>
              <w:spacing w:before="120" w:after="120"/>
              <w:ind w:firstLine="0"/>
              <w:jc w:val="both"/>
              <w:rPr>
                <w:sz w:val="24"/>
              </w:rPr>
            </w:pPr>
            <w:r w:rsidRPr="00E876EC">
              <w:rPr>
                <w:b/>
                <w:color w:val="FF0000"/>
                <w:sz w:val="24"/>
              </w:rPr>
              <w:t>TOTAL</w:t>
            </w:r>
          </w:p>
        </w:tc>
        <w:tc>
          <w:tcPr>
            <w:tcW w:w="2102" w:type="dxa"/>
            <w:tcBorders>
              <w:top w:val="double" w:sz="4" w:space="0" w:color="auto"/>
              <w:bottom w:val="single" w:sz="12" w:space="0" w:color="auto"/>
            </w:tcBorders>
          </w:tcPr>
          <w:p w14:paraId="039C76E9" w14:textId="77777777" w:rsidR="002775D9" w:rsidRPr="00E876EC" w:rsidRDefault="002775D9" w:rsidP="002775D9">
            <w:pPr>
              <w:spacing w:before="120" w:after="120"/>
              <w:ind w:right="464" w:firstLine="0"/>
              <w:jc w:val="right"/>
              <w:rPr>
                <w:sz w:val="24"/>
              </w:rPr>
            </w:pPr>
            <w:r w:rsidRPr="00E876EC">
              <w:rPr>
                <w:sz w:val="24"/>
              </w:rPr>
              <w:t>8827</w:t>
            </w:r>
          </w:p>
        </w:tc>
      </w:tr>
    </w:tbl>
    <w:p w14:paraId="6E1F1612" w14:textId="77777777" w:rsidR="002775D9" w:rsidRPr="008771F1" w:rsidRDefault="002775D9" w:rsidP="002775D9">
      <w:pPr>
        <w:spacing w:before="240" w:after="120"/>
        <w:ind w:firstLine="0"/>
        <w:jc w:val="both"/>
        <w:rPr>
          <w:sz w:val="24"/>
          <w:szCs w:val="2"/>
        </w:rPr>
      </w:pPr>
      <w:r w:rsidRPr="008771F1">
        <w:rPr>
          <w:sz w:val="24"/>
          <w:szCs w:val="2"/>
        </w:rPr>
        <w:t xml:space="preserve">Source : Banque de Montréal, </w:t>
      </w:r>
      <w:r w:rsidRPr="008771F1">
        <w:rPr>
          <w:i/>
          <w:sz w:val="24"/>
          <w:szCs w:val="2"/>
        </w:rPr>
        <w:t>op. cit</w:t>
      </w:r>
      <w:r w:rsidRPr="008771F1">
        <w:rPr>
          <w:sz w:val="24"/>
          <w:szCs w:val="2"/>
        </w:rPr>
        <w:t>., p. 3.</w:t>
      </w:r>
    </w:p>
    <w:p w14:paraId="399EAC65" w14:textId="77777777" w:rsidR="002775D9" w:rsidRPr="008771F1" w:rsidRDefault="002775D9" w:rsidP="002775D9">
      <w:pPr>
        <w:spacing w:before="120" w:after="120"/>
        <w:ind w:firstLine="0"/>
        <w:jc w:val="both"/>
        <w:rPr>
          <w:sz w:val="24"/>
          <w:szCs w:val="2"/>
        </w:rPr>
      </w:pPr>
      <w:r w:rsidRPr="008771F1">
        <w:rPr>
          <w:sz w:val="24"/>
          <w:szCs w:val="2"/>
        </w:rPr>
        <w:t>N.B. Cette liste n’est pas exhaustive, cf. Financial Post 500, juin 81. p. 17.</w:t>
      </w:r>
    </w:p>
    <w:p w14:paraId="17488246" w14:textId="77777777" w:rsidR="002775D9" w:rsidRDefault="002775D9" w:rsidP="002775D9">
      <w:pPr>
        <w:spacing w:before="120" w:after="120"/>
        <w:ind w:firstLine="0"/>
        <w:jc w:val="both"/>
        <w:rPr>
          <w:szCs w:val="2"/>
        </w:rPr>
      </w:pPr>
      <w:r w:rsidRPr="00161146">
        <w:rPr>
          <w:szCs w:val="2"/>
        </w:rPr>
        <w:br w:type="page"/>
      </w:r>
      <w:r>
        <w:rPr>
          <w:szCs w:val="2"/>
        </w:rPr>
        <w:t xml:space="preserve"> [74]</w:t>
      </w:r>
    </w:p>
    <w:p w14:paraId="53BA7A44" w14:textId="77777777" w:rsidR="002775D9" w:rsidRPr="00161146" w:rsidRDefault="002775D9" w:rsidP="002775D9">
      <w:pPr>
        <w:spacing w:before="120" w:after="120"/>
        <w:ind w:firstLine="0"/>
        <w:jc w:val="both"/>
      </w:pPr>
      <w:r w:rsidRPr="00161146">
        <w:t>en 1967, à 39,1% en 1980. Le plus gros producteur canadien de mat</w:t>
      </w:r>
      <w:r w:rsidRPr="00161146">
        <w:t>é</w:t>
      </w:r>
      <w:r w:rsidRPr="00161146">
        <w:t>riel de télécommunication, Northern Electric, se transforme en mult</w:t>
      </w:r>
      <w:r w:rsidRPr="00161146">
        <w:t>i</w:t>
      </w:r>
      <w:r w:rsidRPr="00161146">
        <w:t>nationale, Northern Telecom, et investit le marché américain. En trois ans, Northern Telecom fait passer à 40% la proportion de son chiffre d'affaires de 2 milliards de dollars réalisée aux États-Unis, et à plus de 50%, celle réalisée sur l’ensemble des marchés étrangers.</w:t>
      </w:r>
    </w:p>
    <w:p w14:paraId="33F15D71" w14:textId="77777777" w:rsidR="002775D9" w:rsidRPr="00161146" w:rsidRDefault="002775D9" w:rsidP="002775D9">
      <w:pPr>
        <w:spacing w:before="120" w:after="120"/>
        <w:jc w:val="both"/>
      </w:pPr>
      <w:r w:rsidRPr="00161146">
        <w:t>À peu près toutes les grandes compagnies canadiennes vont tenter de faire l’acquisition d’entreprises aux États-Unis. Les grands mon</w:t>
      </w:r>
      <w:r w:rsidRPr="00161146">
        <w:t>o</w:t>
      </w:r>
      <w:r w:rsidRPr="00161146">
        <w:t>poles canadiens (21 compagnies canadiennes contrôlent en 1975 83,6% des 7 milliards de dollars en inve</w:t>
      </w:r>
      <w:r w:rsidRPr="00161146">
        <w:t>s</w:t>
      </w:r>
      <w:r w:rsidRPr="00161146">
        <w:t>tissements canadiens directs à l’étranger), mais aussi des entr</w:t>
      </w:r>
      <w:r w:rsidRPr="00161146">
        <w:t>e</w:t>
      </w:r>
      <w:r w:rsidRPr="00161146">
        <w:t>prises de taille moyenne, s’alignent sur le marché international dans les secteurs industriels où ils sont susceptibles de réaliser les meilleures percées : technologie de tél</w:t>
      </w:r>
      <w:r w:rsidRPr="00161146">
        <w:t>é</w:t>
      </w:r>
      <w:r w:rsidRPr="00161146">
        <w:t>communications, mines, équipements de transport, mais également dans l’agroalimentaire, les industries énergétiques, la construction et les finances.</w:t>
      </w:r>
    </w:p>
    <w:p w14:paraId="4D9A909E" w14:textId="77777777" w:rsidR="002775D9" w:rsidRPr="00161146" w:rsidRDefault="002775D9" w:rsidP="002775D9">
      <w:pPr>
        <w:spacing w:before="120" w:after="120"/>
        <w:jc w:val="both"/>
      </w:pPr>
      <w:r w:rsidRPr="00161146">
        <w:t>Même si ce mouvement d’intégration du marché nord-américain rencontre certaines résistances à saveur nationaliste des deux côtés de la frontière</w:t>
      </w:r>
      <w:r>
        <w:t>  </w:t>
      </w:r>
      <w:r>
        <w:rPr>
          <w:rStyle w:val="Appelnotedebasdep"/>
        </w:rPr>
        <w:footnoteReference w:id="10"/>
      </w:r>
      <w:r w:rsidRPr="00161146">
        <w:t>, il ne cesse de s’accentuer. Le contexte du commerce international défini par les accords du GATT dans sa version du T</w:t>
      </w:r>
      <w:r w:rsidRPr="00161146">
        <w:t>o</w:t>
      </w:r>
      <w:r w:rsidRPr="00161146">
        <w:t>kyo Round et l’abolition des ba</w:t>
      </w:r>
      <w:r w:rsidRPr="00161146">
        <w:t>r</w:t>
      </w:r>
      <w:r w:rsidRPr="00161146">
        <w:t>rières tarifaires qui l’accompagnent stimulent l’intégration économique du continent et incitent à la rati</w:t>
      </w:r>
      <w:r w:rsidRPr="00161146">
        <w:t>o</w:t>
      </w:r>
      <w:r w:rsidRPr="00161146">
        <w:t>nalisation des activ</w:t>
      </w:r>
      <w:r w:rsidRPr="00161146">
        <w:t>i</w:t>
      </w:r>
      <w:r w:rsidRPr="00161146">
        <w:t>tés des entreprises en fonction de ce marché. Tous les capitaux canadiens, y compris les capitaux régionaux, composent avec</w:t>
      </w:r>
      <w:r>
        <w:t xml:space="preserve"> </w:t>
      </w:r>
      <w:r w:rsidRPr="00161146">
        <w:t>cette dynamique nouvelle.</w:t>
      </w:r>
    </w:p>
    <w:p w14:paraId="3DAACBB3" w14:textId="77777777" w:rsidR="002775D9" w:rsidRPr="00161146" w:rsidRDefault="002775D9" w:rsidP="002775D9">
      <w:pPr>
        <w:spacing w:before="120" w:after="120"/>
        <w:jc w:val="both"/>
      </w:pPr>
      <w:r>
        <w:br w:type="page"/>
      </w:r>
      <w:r w:rsidRPr="00161146">
        <w:t>Le type de rapport au capital américain amené par le go</w:t>
      </w:r>
      <w:r w:rsidRPr="00161146">
        <w:t>u</w:t>
      </w:r>
      <w:r w:rsidRPr="00161146">
        <w:t>vernement fédéral au siècle dernier tend à s’effriter au profit d’un autre genre de liens. On sait qu’historiquement le secteur manufacturier canadien fut en grande partie composé de filiales américaines, répliques miniatures des sociétés mères, qui se sont installées au canada pour contourner les barrières tarifaires érigées au siècle dernier en vertu de la « Nati</w:t>
      </w:r>
      <w:r w:rsidRPr="00161146">
        <w:t>o</w:t>
      </w:r>
      <w:r w:rsidRPr="00161146">
        <w:t>nal Policy » et prendre le contrôle du marché canadien. La bourgeoisie canadienne a vu dans ce phénomène une contribution p</w:t>
      </w:r>
      <w:r w:rsidRPr="00161146">
        <w:t>o</w:t>
      </w:r>
      <w:r w:rsidRPr="00161146">
        <w:t>sitive à l’économie, dans la mesure où cela lui a permis un certain a</w:t>
      </w:r>
      <w:r w:rsidRPr="00161146">
        <w:t>c</w:t>
      </w:r>
      <w:r w:rsidRPr="00161146">
        <w:t>cès aux innovations technologiques et stimulé le développement i</w:t>
      </w:r>
      <w:r w:rsidRPr="00161146">
        <w:t>n</w:t>
      </w:r>
      <w:r w:rsidRPr="00161146">
        <w:t>dustriel au Canada.</w:t>
      </w:r>
    </w:p>
    <w:p w14:paraId="5C5564BF" w14:textId="77777777" w:rsidR="002775D9" w:rsidRPr="00161146" w:rsidRDefault="002775D9" w:rsidP="002775D9">
      <w:pPr>
        <w:spacing w:before="120" w:after="120"/>
        <w:jc w:val="both"/>
      </w:pPr>
      <w:r w:rsidRPr="00161146">
        <w:t>Ceci est en train de changer. La restructuration du capital amér</w:t>
      </w:r>
      <w:r w:rsidRPr="00161146">
        <w:t>i</w:t>
      </w:r>
      <w:r w:rsidRPr="00161146">
        <w:t>cain pousse les filiales à quitter le Canada. À mesure que les tarifs c</w:t>
      </w:r>
      <w:r w:rsidRPr="00161146">
        <w:t>a</w:t>
      </w:r>
      <w:r w:rsidRPr="00161146">
        <w:t>nadiens s’abaissent, il devient plus intéressant pour les entreprises américaines de fermer leurs portes au Canada, de concentrer la pr</w:t>
      </w:r>
      <w:r w:rsidRPr="00161146">
        <w:t>o</w:t>
      </w:r>
      <w:r w:rsidRPr="00161146">
        <w:t>duction aux États-Unis, pour bénéficier des économies d’échelle des grandes unités de production puis d’exporter au Canada. En 1981 le désinvestissement direct au Canada a atteint le sommet inégalé de 5,3 milliards de dollars</w:t>
      </w:r>
      <w:r>
        <w:t> </w:t>
      </w:r>
      <w:r>
        <w:rPr>
          <w:rStyle w:val="Appelnotedebasdep"/>
        </w:rPr>
        <w:footnoteReference w:id="11"/>
      </w:r>
      <w:r w:rsidRPr="00161146">
        <w:t>.</w:t>
      </w:r>
    </w:p>
    <w:p w14:paraId="5306E19B" w14:textId="77777777" w:rsidR="002775D9" w:rsidRPr="00161146" w:rsidRDefault="002775D9" w:rsidP="002775D9">
      <w:pPr>
        <w:spacing w:before="120" w:after="120"/>
        <w:jc w:val="both"/>
      </w:pPr>
      <w:r w:rsidRPr="00161146">
        <w:t>Le gouvernement américain encourage d’ailleurs ce repli par de nombreuses mesures incitant les entreprises américaines à produire chez elles. C’est notamment la fonction de déductions fiscales amér</w:t>
      </w:r>
      <w:r w:rsidRPr="00161146">
        <w:t>i</w:t>
      </w:r>
      <w:r w:rsidRPr="00161146">
        <w:t>caines du Domestic International Sales Co</w:t>
      </w:r>
      <w:r w:rsidRPr="00161146">
        <w:t>r</w:t>
      </w:r>
      <w:r w:rsidRPr="00161146">
        <w:t xml:space="preserve">poration (DISC) program (sociétés </w:t>
      </w:r>
      <w:r>
        <w:t>d’exportation bidons qui permet</w:t>
      </w:r>
      <w:r w:rsidRPr="00161146">
        <w:t xml:space="preserve">tent </w:t>
      </w:r>
      <w:r>
        <w:t xml:space="preserve"> [75] </w:t>
      </w:r>
      <w:r w:rsidRPr="00161146">
        <w:t>d’importantes d</w:t>
      </w:r>
      <w:r w:rsidRPr="00161146">
        <w:t>é</w:t>
      </w:r>
      <w:r w:rsidRPr="00161146">
        <w:t>ductions fiscales) et de la création de zones fra</w:t>
      </w:r>
      <w:r w:rsidRPr="00161146">
        <w:t>n</w:t>
      </w:r>
      <w:r w:rsidRPr="00161146">
        <w:t>ches le long de la frontière canadienne pour la production manufact</w:t>
      </w:r>
      <w:r w:rsidRPr="00161146">
        <w:t>u</w:t>
      </w:r>
      <w:r w:rsidRPr="00161146">
        <w:t>rière destinée à l’exportation</w:t>
      </w:r>
      <w:r>
        <w:t> </w:t>
      </w:r>
      <w:r>
        <w:rPr>
          <w:rStyle w:val="Appelnotedebasdep"/>
        </w:rPr>
        <w:footnoteReference w:id="12"/>
      </w:r>
      <w:r w:rsidRPr="00161146">
        <w:t>. Ainsi le capital américain tend-il à intégrer et ration</w:t>
      </w:r>
      <w:r w:rsidRPr="00161146">
        <w:t>a</w:t>
      </w:r>
      <w:r w:rsidRPr="00161146">
        <w:t>liser sa production continentale à partir de son ce</w:t>
      </w:r>
      <w:r w:rsidRPr="00161146">
        <w:t>n</w:t>
      </w:r>
      <w:r w:rsidRPr="00161146">
        <w:t>tre logistique.</w:t>
      </w:r>
    </w:p>
    <w:p w14:paraId="4A09D891" w14:textId="77777777" w:rsidR="002775D9" w:rsidRPr="00161146" w:rsidRDefault="002775D9" w:rsidP="002775D9">
      <w:pPr>
        <w:spacing w:before="120" w:after="120"/>
        <w:jc w:val="both"/>
      </w:pPr>
      <w:r w:rsidRPr="00161146">
        <w:t>Quant au capital canadien, sa progression et sa concentr</w:t>
      </w:r>
      <w:r w:rsidRPr="00161146">
        <w:t>a</w:t>
      </w:r>
      <w:r w:rsidRPr="00161146">
        <w:t>tion des</w:t>
      </w:r>
      <w:r>
        <w:t xml:space="preserve"> </w:t>
      </w:r>
      <w:r w:rsidRPr="00161146">
        <w:t>dernières années le poussent à rechercher de nouveaux hor</w:t>
      </w:r>
      <w:r w:rsidRPr="00161146">
        <w:t>i</w:t>
      </w:r>
      <w:r w:rsidRPr="00161146">
        <w:t>zons. Il s’active de plus en plus dans le champ international et notamment dans les projets de développement des États du tiers-monde. Mais la plus grande partie de ses efforts est consacrée à la percée de l’immense marché que constituent les USA. Même si à l’échelle pl</w:t>
      </w:r>
      <w:r w:rsidRPr="00161146">
        <w:t>a</w:t>
      </w:r>
      <w:r w:rsidRPr="00161146">
        <w:t>nétaire il demeure une force capitaliste d’importance secondaire, le Canada compte, derrière l’Allemagne, le Royaume-Uni et le Japon, dans le peloton de tête des investisseurs étrangers aux États-Unis.</w:t>
      </w:r>
    </w:p>
    <w:p w14:paraId="76C603AC" w14:textId="77777777" w:rsidR="002775D9" w:rsidRDefault="002775D9" w:rsidP="002775D9">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2775D9" w14:paraId="6A7BA43F" w14:textId="77777777">
        <w:tc>
          <w:tcPr>
            <w:tcW w:w="8060" w:type="dxa"/>
            <w:shd w:val="clear" w:color="auto" w:fill="EEECE1"/>
          </w:tcPr>
          <w:p w14:paraId="2587C4E3" w14:textId="77777777" w:rsidR="002775D9" w:rsidRDefault="002775D9" w:rsidP="002775D9">
            <w:pPr>
              <w:spacing w:after="183" w:line="223" w:lineRule="exact"/>
              <w:ind w:right="1000" w:firstLine="34"/>
            </w:pPr>
          </w:p>
          <w:p w14:paraId="6499056A" w14:textId="77777777" w:rsidR="002775D9" w:rsidRPr="00905B80" w:rsidRDefault="002775D9" w:rsidP="002775D9">
            <w:pPr>
              <w:spacing w:after="183" w:line="223" w:lineRule="exact"/>
              <w:ind w:right="1000" w:firstLine="34"/>
              <w:rPr>
                <w:b/>
                <w:color w:val="0000FF"/>
              </w:rPr>
            </w:pPr>
            <w:r w:rsidRPr="00905B80">
              <w:rPr>
                <w:b/>
                <w:color w:val="0000FF"/>
              </w:rPr>
              <w:t>Le continent</w:t>
            </w:r>
            <w:r w:rsidRPr="00905B80">
              <w:rPr>
                <w:b/>
                <w:color w:val="0000FF"/>
              </w:rPr>
              <w:t>a</w:t>
            </w:r>
            <w:r w:rsidRPr="00905B80">
              <w:rPr>
                <w:b/>
                <w:color w:val="0000FF"/>
              </w:rPr>
              <w:t>lisme, un exemple :</w:t>
            </w:r>
          </w:p>
          <w:p w14:paraId="5D71A240" w14:textId="77777777" w:rsidR="002775D9" w:rsidRDefault="002775D9" w:rsidP="002775D9">
            <w:pPr>
              <w:ind w:firstLine="34"/>
            </w:pPr>
            <w:r>
              <w:t>Lumonics Inc. est une petite entreprise can</w:t>
            </w:r>
            <w:r>
              <w:t>a</w:t>
            </w:r>
            <w:r>
              <w:t>dienne (140 employés, 15 millions de dollars d’actifs) qui fabrique des lasers et en dévelo</w:t>
            </w:r>
            <w:r>
              <w:t>p</w:t>
            </w:r>
            <w:r>
              <w:t>pe des applications industrielles. Cette entreprise de haute technol</w:t>
            </w:r>
            <w:r>
              <w:t>o</w:t>
            </w:r>
            <w:r>
              <w:t>gie a vraiment « décollé » en 1978. En 1981, elle e</w:t>
            </w:r>
            <w:r>
              <w:t>x</w:t>
            </w:r>
            <w:r>
              <w:t>ploite 90% de sa production, dont la moitié aux États-Unis. Lumonics Inc. s’est const</w:t>
            </w:r>
            <w:r>
              <w:t>i</w:t>
            </w:r>
            <w:r>
              <w:t>tué une filiale à part entière aux U.S.A., Lumonics Corporation. En 1981, Lumonics a ouvert un bureau de ventes à Long Island, N.Y., pour desservir la côte est. En 1982, elle a construit un établi</w:t>
            </w:r>
            <w:r>
              <w:t>s</w:t>
            </w:r>
            <w:r>
              <w:t>sement à Phoenix, Arizona pour prendre en charge les activités d’expédition. Également en 1982, elle a fait l’acquisition de J.K. L</w:t>
            </w:r>
            <w:r>
              <w:t>a</w:t>
            </w:r>
            <w:r>
              <w:t>sers, le plus gros manufacturier britannique de lasers industriels. Le principal a</w:t>
            </w:r>
            <w:r>
              <w:t>c</w:t>
            </w:r>
            <w:r>
              <w:t>tionnaire de Lumonics (à 35%) est la papetière McClare Power &amp; Paper, elle-même f</w:t>
            </w:r>
            <w:r>
              <w:t>i</w:t>
            </w:r>
            <w:r>
              <w:t>liale de Noranda...</w:t>
            </w:r>
          </w:p>
          <w:p w14:paraId="6B6A5CEB" w14:textId="77777777" w:rsidR="002775D9" w:rsidRDefault="002775D9" w:rsidP="002775D9">
            <w:pPr>
              <w:spacing w:before="120" w:after="120"/>
              <w:ind w:firstLine="0"/>
              <w:jc w:val="both"/>
            </w:pPr>
          </w:p>
        </w:tc>
      </w:tr>
    </w:tbl>
    <w:p w14:paraId="2458EEEA" w14:textId="77777777" w:rsidR="002775D9" w:rsidRPr="00161146" w:rsidRDefault="002775D9" w:rsidP="002775D9">
      <w:pPr>
        <w:spacing w:before="120" w:after="120"/>
        <w:jc w:val="both"/>
      </w:pPr>
    </w:p>
    <w:p w14:paraId="02D23B50" w14:textId="77777777" w:rsidR="002775D9" w:rsidRPr="0064599F" w:rsidRDefault="002775D9" w:rsidP="002775D9">
      <w:pPr>
        <w:spacing w:before="120" w:after="120"/>
        <w:jc w:val="both"/>
        <w:rPr>
          <w:i/>
          <w:iCs/>
          <w:szCs w:val="28"/>
        </w:rPr>
      </w:pPr>
      <w:r w:rsidRPr="00161146">
        <w:t>Avec tous les grincements que cela peut comporter, l’axe trad</w:t>
      </w:r>
      <w:r w:rsidRPr="00161146">
        <w:t>i</w:t>
      </w:r>
      <w:r w:rsidRPr="00161146">
        <w:t>tionnel (Est-Ouest) du développement capitaliste au Canada doit riv</w:t>
      </w:r>
      <w:r w:rsidRPr="00161146">
        <w:t>a</w:t>
      </w:r>
      <w:r w:rsidRPr="00161146">
        <w:t>liser avec les pressions Nord-Sud. Ce dernier axe app</w:t>
      </w:r>
      <w:r w:rsidRPr="00161146">
        <w:t>a</w:t>
      </w:r>
      <w:r w:rsidRPr="00161146">
        <w:t xml:space="preserve">raît beaucoup plus rationnel pour nombre d’entreprises canadiennes. </w:t>
      </w:r>
      <w:r w:rsidRPr="0064599F">
        <w:rPr>
          <w:i/>
          <w:iCs/>
          <w:szCs w:val="28"/>
        </w:rPr>
        <w:t>Mais il impl</w:t>
      </w:r>
      <w:r w:rsidRPr="0064599F">
        <w:rPr>
          <w:i/>
          <w:iCs/>
          <w:szCs w:val="28"/>
        </w:rPr>
        <w:t>i</w:t>
      </w:r>
      <w:r w:rsidRPr="0064599F">
        <w:rPr>
          <w:i/>
          <w:iCs/>
          <w:szCs w:val="28"/>
        </w:rPr>
        <w:t>que la mise en place de « holdings » aptes à concurrencer les pui</w:t>
      </w:r>
      <w:r w:rsidRPr="0064599F">
        <w:rPr>
          <w:i/>
          <w:iCs/>
          <w:szCs w:val="28"/>
        </w:rPr>
        <w:t>s</w:t>
      </w:r>
      <w:r w:rsidRPr="0064599F">
        <w:rPr>
          <w:i/>
          <w:iCs/>
          <w:szCs w:val="28"/>
        </w:rPr>
        <w:t>sants groupes américains, de même qu’il suppose une nouvelle sp</w:t>
      </w:r>
      <w:r w:rsidRPr="0064599F">
        <w:rPr>
          <w:i/>
          <w:iCs/>
          <w:szCs w:val="28"/>
        </w:rPr>
        <w:t>é</w:t>
      </w:r>
      <w:r w:rsidRPr="0064599F">
        <w:rPr>
          <w:i/>
          <w:iCs/>
          <w:szCs w:val="28"/>
        </w:rPr>
        <w:t>cialis</w:t>
      </w:r>
      <w:r w:rsidRPr="0064599F">
        <w:rPr>
          <w:i/>
          <w:iCs/>
          <w:szCs w:val="28"/>
        </w:rPr>
        <w:t>a</w:t>
      </w:r>
      <w:r w:rsidRPr="0064599F">
        <w:rPr>
          <w:i/>
          <w:iCs/>
          <w:szCs w:val="28"/>
        </w:rPr>
        <w:t>tion des entreprises canadiennes dans les sphères économiques où e</w:t>
      </w:r>
      <w:r w:rsidRPr="0064599F">
        <w:rPr>
          <w:i/>
          <w:iCs/>
          <w:szCs w:val="28"/>
        </w:rPr>
        <w:t>l</w:t>
      </w:r>
      <w:r w:rsidRPr="0064599F">
        <w:rPr>
          <w:i/>
          <w:iCs/>
          <w:szCs w:val="28"/>
        </w:rPr>
        <w:t>les disposent d’avantages.</w:t>
      </w:r>
    </w:p>
    <w:p w14:paraId="563A174C" w14:textId="77777777" w:rsidR="002775D9" w:rsidRDefault="002775D9" w:rsidP="002775D9">
      <w:pPr>
        <w:spacing w:before="120" w:after="120"/>
        <w:jc w:val="both"/>
      </w:pPr>
      <w:r>
        <w:br w:type="page"/>
      </w:r>
    </w:p>
    <w:p w14:paraId="0D9C9109" w14:textId="77777777" w:rsidR="002775D9" w:rsidRPr="0064599F" w:rsidRDefault="002775D9" w:rsidP="002775D9">
      <w:pPr>
        <w:pStyle w:val="a"/>
      </w:pPr>
      <w:r w:rsidRPr="0064599F">
        <w:t>Une transformation profonde</w:t>
      </w:r>
    </w:p>
    <w:p w14:paraId="4A74C941" w14:textId="77777777" w:rsidR="002775D9" w:rsidRDefault="002775D9" w:rsidP="002775D9">
      <w:pPr>
        <w:spacing w:before="120" w:after="120"/>
        <w:jc w:val="both"/>
      </w:pPr>
    </w:p>
    <w:p w14:paraId="7D59AB49" w14:textId="77777777" w:rsidR="002775D9" w:rsidRPr="00161146" w:rsidRDefault="002775D9" w:rsidP="002775D9">
      <w:pPr>
        <w:spacing w:before="120" w:after="120"/>
        <w:jc w:val="both"/>
      </w:pPr>
      <w:r w:rsidRPr="00161146">
        <w:t>Historiquement, la division internationale du travail organisée par les USA a amené la bourgeoisie canadie</w:t>
      </w:r>
      <w:r w:rsidRPr="00161146">
        <w:t>n</w:t>
      </w:r>
      <w:r w:rsidRPr="00161146">
        <w:t>ne à se cantonner dans les industries manufacturières de technologie moyenne (aliments et boi</w:t>
      </w:r>
      <w:r w:rsidRPr="00161146">
        <w:t>s</w:t>
      </w:r>
      <w:r w:rsidRPr="00161146">
        <w:t>sons, textiles, construction, acier), et dans les activités connexes au secteur manufacturier (finances, assur</w:t>
      </w:r>
      <w:r>
        <w:t>ances, commerce, transport, com</w:t>
      </w:r>
      <w:r w:rsidRPr="00161146">
        <w:t>munications)</w:t>
      </w:r>
      <w:r>
        <w:t xml:space="preserve"> [76]</w:t>
      </w:r>
      <w:r w:rsidRPr="00161146">
        <w:t xml:space="preserve"> alors que le capital étranger se réservait les se</w:t>
      </w:r>
      <w:r w:rsidRPr="00161146">
        <w:t>c</w:t>
      </w:r>
      <w:r w:rsidRPr="00161146">
        <w:t>teurs de pointe. Sauf quelques exceptions notables comme l’industrie pap</w:t>
      </w:r>
      <w:r w:rsidRPr="00161146">
        <w:t>e</w:t>
      </w:r>
      <w:r w:rsidRPr="00161146">
        <w:t>tière et des entreprises minières dont Noranda, Denison Mines, Hollinger-Argus, Cominco-CP, l’exploitation des ressources nature</w:t>
      </w:r>
      <w:r w:rsidRPr="00161146">
        <w:t>l</w:t>
      </w:r>
      <w:r w:rsidRPr="00161146">
        <w:t>les est également restée l’apanage du capital ét</w:t>
      </w:r>
      <w:r>
        <w:t>ranger. (Inco, Alcan, Fal</w:t>
      </w:r>
      <w:r w:rsidRPr="00161146">
        <w:t>conbri</w:t>
      </w:r>
      <w:r w:rsidRPr="00161146">
        <w:t>d</w:t>
      </w:r>
      <w:r w:rsidRPr="00161146">
        <w:t>ge, les multinationales du pétrole, etc.). C’est ce rapport qui s’est transformé, l’économie mondiale ayant remis à la place d’honneur les m</w:t>
      </w:r>
      <w:r w:rsidRPr="00161146">
        <w:t>a</w:t>
      </w:r>
      <w:r w:rsidRPr="00161146">
        <w:t>tières premières, dans le sillage des bouleversements entraînés par le renchérissement des prix énergétiques. La dynamique continentale a amené le capital canadien à se recycler pour une bonne part dans ces champs, mettant à profit la crise du capital américain.</w:t>
      </w:r>
    </w:p>
    <w:p w14:paraId="740D0634" w14:textId="77777777" w:rsidR="002775D9" w:rsidRPr="00161146" w:rsidRDefault="002775D9" w:rsidP="002775D9">
      <w:pPr>
        <w:spacing w:before="120" w:after="120"/>
        <w:jc w:val="both"/>
      </w:pPr>
      <w:r w:rsidRPr="00A75879">
        <w:rPr>
          <w:i/>
          <w:iCs/>
          <w:szCs w:val="28"/>
        </w:rPr>
        <w:t>Le capital canadien s’est ainsi, jusqu’à récemment, divers</w:t>
      </w:r>
      <w:r w:rsidRPr="00A75879">
        <w:rPr>
          <w:i/>
          <w:iCs/>
          <w:szCs w:val="28"/>
        </w:rPr>
        <w:t>i</w:t>
      </w:r>
      <w:r w:rsidRPr="00A75879">
        <w:rPr>
          <w:i/>
          <w:iCs/>
          <w:szCs w:val="28"/>
        </w:rPr>
        <w:t>fié dans les secteurs traditionnellement négligés des ressources naturelles, a</w:t>
      </w:r>
      <w:r w:rsidRPr="00A75879">
        <w:rPr>
          <w:i/>
          <w:iCs/>
          <w:szCs w:val="28"/>
        </w:rPr>
        <w:t>p</w:t>
      </w:r>
      <w:r w:rsidRPr="00A75879">
        <w:rPr>
          <w:i/>
          <w:iCs/>
          <w:szCs w:val="28"/>
        </w:rPr>
        <w:t>profondissant la spécialisation internationale traditionnelle du Can</w:t>
      </w:r>
      <w:r w:rsidRPr="00A75879">
        <w:rPr>
          <w:i/>
          <w:iCs/>
          <w:szCs w:val="28"/>
        </w:rPr>
        <w:t>a</w:t>
      </w:r>
      <w:r w:rsidRPr="00A75879">
        <w:rPr>
          <w:i/>
          <w:iCs/>
          <w:szCs w:val="28"/>
        </w:rPr>
        <w:t>da, mais, cette fois, à son avantage.</w:t>
      </w:r>
      <w:r w:rsidRPr="00161146">
        <w:t xml:space="preserve"> D’autre part, on a investi les se</w:t>
      </w:r>
      <w:r w:rsidRPr="00161146">
        <w:t>c</w:t>
      </w:r>
      <w:r w:rsidRPr="00161146">
        <w:t>teurs de technologie de pointe (avionnerie, télécommunications, i</w:t>
      </w:r>
      <w:r w:rsidRPr="00161146">
        <w:t>n</w:t>
      </w:r>
      <w:r w:rsidRPr="00161146">
        <w:t>formatique, micro-électronique</w:t>
      </w:r>
      <w:r>
        <w:t> </w:t>
      </w:r>
      <w:r>
        <w:rPr>
          <w:rStyle w:val="Appelnotedebasdep"/>
        </w:rPr>
        <w:footnoteReference w:id="13"/>
      </w:r>
      <w:r w:rsidRPr="00A75879">
        <w:t xml:space="preserve"> </w:t>
      </w:r>
      <w:r w:rsidRPr="00161146">
        <w:t>pour occuper une position plus forte dans la nouvelle division internationale du travail en émergence. Il faut cependant s’empresser d’ajouter qu’à ce dernier chapitre le Can</w:t>
      </w:r>
      <w:r w:rsidRPr="00161146">
        <w:t>a</w:t>
      </w:r>
      <w:r w:rsidRPr="00161146">
        <w:t>da en général et les entreprises canadiennes en particulier accusent un important retard sur leurs principaux compétiteurs étrangers. Les se</w:t>
      </w:r>
      <w:r w:rsidRPr="00161146">
        <w:t>c</w:t>
      </w:r>
      <w:r w:rsidRPr="00161146">
        <w:t>teurs de haute technologie demeurent sous-développés et const</w:t>
      </w:r>
      <w:r w:rsidRPr="00161146">
        <w:t>i</w:t>
      </w:r>
      <w:r w:rsidRPr="00161146">
        <w:t>tuent très certainement un des plus grands sujets d’inquiétude des str</w:t>
      </w:r>
      <w:r w:rsidRPr="00161146">
        <w:t>a</w:t>
      </w:r>
      <w:r w:rsidRPr="00161146">
        <w:t>tèges du développement économique canadien cantonnés à Ottawa. Il d</w:t>
      </w:r>
      <w:r w:rsidRPr="00161146">
        <w:t>e</w:t>
      </w:r>
      <w:r w:rsidRPr="00161146">
        <w:t>meure néanmoins que la bourgeoisie canadienne a accru sa compétit</w:t>
      </w:r>
      <w:r w:rsidRPr="00161146">
        <w:t>i</w:t>
      </w:r>
      <w:r w:rsidRPr="00161146">
        <w:t>vité dans certaines bra</w:t>
      </w:r>
      <w:r w:rsidRPr="00161146">
        <w:t>n</w:t>
      </w:r>
      <w:r w:rsidRPr="00161146">
        <w:t>ches manufacturières grâce en grande partie aux programmes de modernisation mis sur pied par l’État. Cette am</w:t>
      </w:r>
      <w:r w:rsidRPr="00161146">
        <w:t>é</w:t>
      </w:r>
      <w:r w:rsidRPr="00161146">
        <w:t>lioration de la pos</w:t>
      </w:r>
      <w:r w:rsidRPr="00161146">
        <w:t>i</w:t>
      </w:r>
      <w:r w:rsidRPr="00161146">
        <w:t>tion concurrentielle a été acquise en tablant sur l’accroissement des expo</w:t>
      </w:r>
      <w:r w:rsidRPr="00161146">
        <w:t>r</w:t>
      </w:r>
      <w:r w:rsidRPr="00161146">
        <w:t>tations.</w:t>
      </w:r>
    </w:p>
    <w:p w14:paraId="32B3EE4E" w14:textId="77777777" w:rsidR="002775D9" w:rsidRPr="00161146" w:rsidRDefault="002775D9" w:rsidP="002775D9">
      <w:pPr>
        <w:spacing w:before="120" w:after="120"/>
        <w:jc w:val="both"/>
      </w:pPr>
      <w:r w:rsidRPr="00161146">
        <w:t>Comme nous l’avons illustré à la section précédente, le grand cap</w:t>
      </w:r>
      <w:r w:rsidRPr="00161146">
        <w:t>i</w:t>
      </w:r>
      <w:r w:rsidRPr="00161146">
        <w:t>tal tend également à se recycler dans des secteurs lucratifs. La restru</w:t>
      </w:r>
      <w:r w:rsidRPr="00161146">
        <w:t>c</w:t>
      </w:r>
      <w:r w:rsidRPr="00161146">
        <w:t>turation et la modernisation des grandes e</w:t>
      </w:r>
      <w:r w:rsidRPr="00161146">
        <w:t>n</w:t>
      </w:r>
      <w:r w:rsidRPr="00161146">
        <w:t>trepr</w:t>
      </w:r>
      <w:r>
        <w:t>ises papetières (dont Abitibi-Pr</w:t>
      </w:r>
      <w:r w:rsidRPr="00161146">
        <w:t>ice, Consolidated Bathurst, Domtar, Eddy, etc.) ou l’intérêt croissant des grandes banques canadiennes, la diversification de leurs opérations (création de super marchés financiers) pour le f</w:t>
      </w:r>
      <w:r w:rsidRPr="00161146">
        <w:t>i</w:t>
      </w:r>
      <w:r w:rsidRPr="00161146">
        <w:t>nancement des projets énergétiques et l’expansion immobilière dans l’Ouest, i</w:t>
      </w:r>
      <w:r w:rsidRPr="00161146">
        <w:t>l</w:t>
      </w:r>
      <w:r w:rsidRPr="00161146">
        <w:t>lustrent fort bien ce phénomène. Il s’agit d’une tendance qui non se</w:t>
      </w:r>
      <w:r w:rsidRPr="00161146">
        <w:t>u</w:t>
      </w:r>
      <w:r w:rsidRPr="00161146">
        <w:t>lement transforme la dynamique profonde de la bourgeoisie canadie</w:t>
      </w:r>
      <w:r w:rsidRPr="00161146">
        <w:t>n</w:t>
      </w:r>
      <w:r w:rsidRPr="00161146">
        <w:t>ne, mais qui en modifie également l’ancrage économique. D’autres pôles de croissance, plus dynamiques que l’Ontario, mais pour le moment moins importants quantitativement, apparaissent. C’est n</w:t>
      </w:r>
      <w:r w:rsidRPr="00161146">
        <w:t>o</w:t>
      </w:r>
      <w:r w:rsidRPr="00161146">
        <w:t>tamment le cas de l’Ouest et bientôt du Grand-Nord et de Te</w:t>
      </w:r>
      <w:r w:rsidRPr="00161146">
        <w:t>r</w:t>
      </w:r>
      <w:r w:rsidRPr="00161146">
        <w:t>re-Neuve.</w:t>
      </w:r>
    </w:p>
    <w:p w14:paraId="3BC9F217" w14:textId="77777777" w:rsidR="002775D9" w:rsidRPr="00161146" w:rsidRDefault="002775D9" w:rsidP="002775D9">
      <w:pPr>
        <w:spacing w:before="120" w:after="120"/>
        <w:jc w:val="both"/>
      </w:pPr>
      <w:r w:rsidRPr="00161146">
        <w:t>Mais ce qu’il faut surtout retenir, c’est qu’en se redéployant dans les ressources naturelles, la bourgeoisie canadienne se situe sur un te</w:t>
      </w:r>
      <w:r w:rsidRPr="00161146">
        <w:t>r</w:t>
      </w:r>
      <w:r w:rsidRPr="00161146">
        <w:t>rain relativement différent de celui qu’elle o</w:t>
      </w:r>
      <w:r w:rsidRPr="00161146">
        <w:t>c</w:t>
      </w:r>
      <w:r w:rsidRPr="00161146">
        <w:t>cupait par le passé. Les ressources naturelles relèvent en effet de gouvernements provinciaux qui sont, pour nombre d’entre eux, parvenus à les intégrer à leur éc</w:t>
      </w:r>
      <w:r w:rsidRPr="00161146">
        <w:t>o</w:t>
      </w:r>
      <w:r>
        <w:t>no</w:t>
      </w:r>
      <w:r w:rsidRPr="00161146">
        <w:t>mie</w:t>
      </w:r>
      <w:r>
        <w:t xml:space="preserve"> [77]</w:t>
      </w:r>
      <w:r w:rsidRPr="00161146">
        <w:t xml:space="preserve"> régionale.</w:t>
      </w:r>
    </w:p>
    <w:p w14:paraId="4D592855" w14:textId="77777777" w:rsidR="002775D9" w:rsidRDefault="002775D9" w:rsidP="002775D9">
      <w:pPr>
        <w:spacing w:before="120" w:after="120"/>
        <w:jc w:val="both"/>
      </w:pPr>
      <w:r>
        <w:br w:type="page"/>
      </w:r>
    </w:p>
    <w:p w14:paraId="706D25C2" w14:textId="77777777" w:rsidR="002775D9" w:rsidRPr="00BD3835" w:rsidRDefault="002775D9" w:rsidP="002775D9">
      <w:pPr>
        <w:pStyle w:val="a"/>
      </w:pPr>
      <w:r w:rsidRPr="00BD3835">
        <w:t>État central et centralisation</w:t>
      </w:r>
    </w:p>
    <w:p w14:paraId="264E7E5C" w14:textId="77777777" w:rsidR="002775D9" w:rsidRDefault="002775D9" w:rsidP="002775D9">
      <w:pPr>
        <w:spacing w:before="120" w:after="120"/>
        <w:jc w:val="both"/>
      </w:pPr>
    </w:p>
    <w:p w14:paraId="2C526511" w14:textId="77777777" w:rsidR="002775D9" w:rsidRPr="00161146" w:rsidRDefault="002775D9" w:rsidP="002775D9">
      <w:pPr>
        <w:spacing w:before="120" w:after="120"/>
        <w:jc w:val="both"/>
      </w:pPr>
      <w:r w:rsidRPr="00161146">
        <w:t>Au cours de la dernière décennie, l’État central a soutenu et impu</w:t>
      </w:r>
      <w:r w:rsidRPr="00161146">
        <w:t>l</w:t>
      </w:r>
      <w:r w:rsidRPr="00161146">
        <w:t>sé le redéploiement en mettant sur pied un grand nombre d’agences publiques et de sociétés d’État. Ce fut n</w:t>
      </w:r>
      <w:r>
        <w:t>otamment le cas de l’ACDI, soi-</w:t>
      </w:r>
      <w:r w:rsidRPr="00161146">
        <w:t>disant pour l’aide au tiers-monde, la Société d’expansion des e</w:t>
      </w:r>
      <w:r w:rsidRPr="00161146">
        <w:t>x</w:t>
      </w:r>
      <w:r w:rsidRPr="00161146">
        <w:t>portations pour promouvoir les exportations et les investissements c</w:t>
      </w:r>
      <w:r w:rsidRPr="00161146">
        <w:t>a</w:t>
      </w:r>
      <w:r w:rsidRPr="00161146">
        <w:t>nadiens à l’étranger, l’Agence d’examen des investissements étrangers (FIRA) pour protéger les capitaux autochtones et veiller aux reto</w:t>
      </w:r>
      <w:r w:rsidRPr="00161146">
        <w:t>m</w:t>
      </w:r>
      <w:r w:rsidRPr="00161146">
        <w:t>bées des investi</w:t>
      </w:r>
      <w:r w:rsidRPr="00161146">
        <w:t>s</w:t>
      </w:r>
      <w:r w:rsidRPr="00161146">
        <w:t>sements étrangers, la société mixte Corporation de développement du Canada dont les quelque 3 milliards de dollars d’actif (1981) se concentrent dans le pétrole et ses dérivés, les mines et fonderies, les produits pharmaceutiques, l’électronique et les pêch</w:t>
      </w:r>
      <w:r w:rsidRPr="00161146">
        <w:t>e</w:t>
      </w:r>
      <w:r w:rsidRPr="00161146">
        <w:t>ries. On a également procédé en 1974-75 à la nationalisation des avionneries Canadair (le Challenger) et De Havilland (les retombées du F-18) et à la création de la société d’État P</w:t>
      </w:r>
      <w:r w:rsidRPr="00161146">
        <w:t>e</w:t>
      </w:r>
      <w:r w:rsidRPr="00161146">
        <w:t>tro-Canada qui a pris successivement le contrôle d’Atlantic Richfield, Pacific Petroleum, Westcoast transmission, Petrofina et British Petroleum. Tout cela, sans parler de l'impulsion donnée au C.N., Air Canada, Radio-Can</w:t>
      </w:r>
      <w:r w:rsidRPr="00161146">
        <w:t>a</w:t>
      </w:r>
      <w:r w:rsidRPr="00161146">
        <w:t>da, et des abondantes subventions consenties aux monopoles de l’industrie papetière. Plus récemment Ottawa a restructuré ses mini</w:t>
      </w:r>
      <w:r w:rsidRPr="00161146">
        <w:t>s</w:t>
      </w:r>
      <w:r w:rsidRPr="00161146">
        <w:t>tères à vocation économique en fonction du marché extérieur et de l’intégration du développement régional à</w:t>
      </w:r>
      <w:r>
        <w:t xml:space="preserve"> </w:t>
      </w:r>
      <w:r w:rsidRPr="00161146">
        <w:t>ses objectifs économiques globaux</w:t>
      </w:r>
      <w:r>
        <w:t> </w:t>
      </w:r>
      <w:r>
        <w:rPr>
          <w:rStyle w:val="Appelnotedebasdep"/>
        </w:rPr>
        <w:footnoteReference w:id="14"/>
      </w:r>
      <w:r w:rsidRPr="00A10B92">
        <w:t>.</w:t>
      </w:r>
    </w:p>
    <w:p w14:paraId="6FFC0840" w14:textId="77777777" w:rsidR="002775D9" w:rsidRPr="00161146" w:rsidRDefault="002775D9" w:rsidP="002775D9">
      <w:pPr>
        <w:spacing w:before="120" w:after="120"/>
        <w:jc w:val="both"/>
      </w:pPr>
      <w:r w:rsidRPr="00161146">
        <w:t>L’opération vise à mettre en place l’infrastructure administrative apte à assurer une plus grande activité internationale de l’économie canadienne. L’objectif d’Ottawa est également de mettre de l’avant une intégration économique susceptible d’assurer une plus grande c</w:t>
      </w:r>
      <w:r w:rsidRPr="00161146">
        <w:t>o</w:t>
      </w:r>
      <w:r w:rsidRPr="00161146">
        <w:t>hésion de l’inter</w:t>
      </w:r>
      <w:r>
        <w:t>vention de l’État en vue d’opé</w:t>
      </w:r>
      <w:r w:rsidRPr="00161146">
        <w:t>ratio</w:t>
      </w:r>
      <w:r>
        <w:t>n</w:t>
      </w:r>
      <w:r w:rsidRPr="00161146">
        <w:t>naliser une polit</w:t>
      </w:r>
      <w:r w:rsidRPr="00161146">
        <w:t>i</w:t>
      </w:r>
      <w:r w:rsidRPr="00161146">
        <w:t>que économique unifiée.</w:t>
      </w:r>
    </w:p>
    <w:p w14:paraId="32D57F9A" w14:textId="77777777" w:rsidR="002775D9" w:rsidRPr="00161146" w:rsidRDefault="002775D9" w:rsidP="002775D9">
      <w:pPr>
        <w:spacing w:before="120" w:after="120"/>
        <w:jc w:val="both"/>
      </w:pPr>
      <w:r>
        <w:t>À</w:t>
      </w:r>
      <w:r w:rsidRPr="00161146">
        <w:t xml:space="preserve"> la source de toutes ces opérations, de nombreux comités de tr</w:t>
      </w:r>
      <w:r w:rsidRPr="00161146">
        <w:t>a</w:t>
      </w:r>
      <w:r w:rsidRPr="00161146">
        <w:t>vail ou d’enquête voués à la construction d’une économie forte, aux mains de la bourgeoisie canadienne.</w:t>
      </w:r>
    </w:p>
    <w:p w14:paraId="438D16A1" w14:textId="77777777" w:rsidR="002775D9" w:rsidRPr="00161146" w:rsidRDefault="002775D9" w:rsidP="002775D9">
      <w:pPr>
        <w:spacing w:before="120" w:after="120"/>
        <w:jc w:val="both"/>
      </w:pPr>
      <w:r w:rsidRPr="00161146">
        <w:t>Une autre étape du processus administratif a été franchie en mai 1982 lors de la création de la Canada development Inves</w:t>
      </w:r>
      <w:r w:rsidRPr="00161146">
        <w:t>t</w:t>
      </w:r>
      <w:r w:rsidRPr="00161146">
        <w:t>ment Corp. (CDIC) présidée par Maurice Strong. Il s’agit d’un nouveau holding dont la tâche est de présider aux destinées de sociétés d’État fédérales et des placements en capital-action</w:t>
      </w:r>
      <w:r>
        <w:t>s</w:t>
      </w:r>
      <w:r w:rsidRPr="00161146">
        <w:t xml:space="preserve"> de diverses composantes gouve</w:t>
      </w:r>
      <w:r w:rsidRPr="00161146">
        <w:t>r</w:t>
      </w:r>
      <w:r w:rsidRPr="00161146">
        <w:t>nementales. La CDIC chapeaute notamment la CDC</w:t>
      </w:r>
      <w:r>
        <w:t> </w:t>
      </w:r>
      <w:r>
        <w:rPr>
          <w:rStyle w:val="Appelnotedebasdep"/>
        </w:rPr>
        <w:footnoteReference w:id="15"/>
      </w:r>
      <w:r w:rsidRPr="00A10B92">
        <w:t>,</w:t>
      </w:r>
      <w:r w:rsidRPr="00161146">
        <w:t xml:space="preserve"> Teleglobe Canada, de Havillard, Can</w:t>
      </w:r>
      <w:r w:rsidRPr="00161146">
        <w:t>a</w:t>
      </w:r>
      <w:r w:rsidRPr="00161146">
        <w:t>dair, Eldonado Nuclaur et les placements de 12</w:t>
      </w:r>
      <w:r>
        <w:t>5 millions de dollars dans Mas</w:t>
      </w:r>
      <w:r w:rsidRPr="00161146">
        <w:t>sey Ferguson</w:t>
      </w:r>
      <w:r>
        <w:t> </w:t>
      </w:r>
      <w:r>
        <w:rPr>
          <w:rStyle w:val="Appelnotedebasdep"/>
        </w:rPr>
        <w:footnoteReference w:id="16"/>
      </w:r>
      <w:r w:rsidRPr="00161146">
        <w:t>.</w:t>
      </w:r>
    </w:p>
    <w:p w14:paraId="16A9F69B" w14:textId="77777777" w:rsidR="002775D9" w:rsidRPr="00161146" w:rsidRDefault="002775D9" w:rsidP="002775D9">
      <w:pPr>
        <w:spacing w:before="120" w:after="120"/>
        <w:jc w:val="both"/>
      </w:pPr>
      <w:r w:rsidRPr="00161146">
        <w:t>On tente également, depuis l’automne 1982, de mettre sur pied C</w:t>
      </w:r>
      <w:r w:rsidRPr="00161146">
        <w:t>a</w:t>
      </w:r>
      <w:r w:rsidRPr="00161146">
        <w:t>nagrex, une agence fédérale destinée à promouvoir les exportations des produits agricoles non couverts par la Co</w:t>
      </w:r>
      <w:r w:rsidRPr="00161146">
        <w:t>m</w:t>
      </w:r>
      <w:r w:rsidRPr="00161146">
        <w:t>mission canadienne du blé et celle du lait. Le projet fédéral envisage la création d’une vérit</w:t>
      </w:r>
      <w:r w:rsidRPr="00161146">
        <w:t>a</w:t>
      </w:r>
      <w:r w:rsidRPr="00161146">
        <w:t>ble maison d’import-export qui verrait à la mise en marché efficace du bétail, de la viande, des fruits, tabac et des céréales autres que le blé, l’orge et</w:t>
      </w:r>
      <w:r>
        <w:t xml:space="preserve"> [78] </w:t>
      </w:r>
      <w:r w:rsidRPr="00161146">
        <w:t>l’avoine. Le Canada enregistre un déficit commercial annuel de 900 millions de dollars sur ces produits (exportations de 4,1 milliards, importations de 5 milliards), d’où l’idée d’une agence ce</w:t>
      </w:r>
      <w:r w:rsidRPr="00161146">
        <w:t>n</w:t>
      </w:r>
      <w:r w:rsidRPr="00161146">
        <w:t>trale pour leur commercialisation sur les marchés extérieurs en dire</w:t>
      </w:r>
      <w:r w:rsidRPr="00161146">
        <w:t>c</w:t>
      </w:r>
      <w:r w:rsidRPr="00161146">
        <w:t>tion n</w:t>
      </w:r>
      <w:r w:rsidRPr="00161146">
        <w:t>o</w:t>
      </w:r>
      <w:r w:rsidRPr="00161146">
        <w:t>tammen</w:t>
      </w:r>
      <w:r>
        <w:t>t de l'Amérique du Sud, du sud-</w:t>
      </w:r>
      <w:r w:rsidRPr="00161146">
        <w:t>est asiatique et de l’Afrique du Nord. L’initiative s’est toutefois heurtée à l’opposition de l’Association c</w:t>
      </w:r>
      <w:r w:rsidRPr="00161146">
        <w:t>a</w:t>
      </w:r>
      <w:r w:rsidRPr="00161146">
        <w:t>nadienne des éleveurs et de l’Association canadienne des manufact</w:t>
      </w:r>
      <w:r w:rsidRPr="00161146">
        <w:t>u</w:t>
      </w:r>
      <w:r w:rsidRPr="00161146">
        <w:t>riers.</w:t>
      </w:r>
    </w:p>
    <w:p w14:paraId="1166632A" w14:textId="77777777" w:rsidR="002775D9" w:rsidRPr="00161146" w:rsidRDefault="002775D9" w:rsidP="002775D9">
      <w:pPr>
        <w:spacing w:before="120" w:after="120"/>
        <w:jc w:val="both"/>
      </w:pPr>
      <w:r w:rsidRPr="00161146">
        <w:t>L’objectif fédéral est fondamentalement d’appuyer un redéploi</w:t>
      </w:r>
      <w:r w:rsidRPr="00161146">
        <w:t>e</w:t>
      </w:r>
      <w:r w:rsidRPr="00161146">
        <w:t>ment centré sur les intérêts du grand capital canadien, ce</w:t>
      </w:r>
      <w:r w:rsidRPr="00161146">
        <w:t>r</w:t>
      </w:r>
      <w:r w:rsidRPr="00161146">
        <w:t>tes, mais en fonction du renforcement des pouvoirs de l’État central pour enrayer le processus de balkanisation de l’économie canadienne. D’offensive en offensive, Ottawa tente d’une part de consolider son emprise sur les champs relevant de sa juridiction et d’autre part de déployer de multiples efforts en vue d’investir les domaines de gestion provinci</w:t>
      </w:r>
      <w:r w:rsidRPr="00161146">
        <w:t>a</w:t>
      </w:r>
      <w:r w:rsidRPr="00161146">
        <w:t>le. Le rapatriement de l’Acte de l’Amérique du Nord britannique, les r</w:t>
      </w:r>
      <w:r w:rsidRPr="00161146">
        <w:t>é</w:t>
      </w:r>
      <w:r w:rsidRPr="00161146">
        <w:t>centes négociations sur les accords fiscaux, la politique fédérale en matière d’enseignement supérieur et de formation de la main-d’oeuvre, le projet d’expropriation d’une bande de terre au Québ</w:t>
      </w:r>
      <w:r>
        <w:t>ec en vue de permettre à Terre-</w:t>
      </w:r>
      <w:r w:rsidRPr="00161146">
        <w:t>Neuve de vendre l’électricité du labrador aux Américains, le projet de loi S-31, l’attitude du ministère fédéral des Transports dans le dossier Québécair ne constituent q</w:t>
      </w:r>
      <w:r>
        <w:t>u</w:t>
      </w:r>
      <w:r w:rsidRPr="00161146">
        <w:t>e quelques-unes des attaques d’Ottawa qui permettent d’avancer cette hypothèse. Mais pour rendre l’opération crédible et surtout donner le change au go</w:t>
      </w:r>
      <w:r w:rsidRPr="00161146">
        <w:t>u</w:t>
      </w:r>
      <w:r w:rsidRPr="00161146">
        <w:t xml:space="preserve">vernement québécois, quelques années seulement après la publication de </w:t>
      </w:r>
      <w:r w:rsidRPr="006B3350">
        <w:rPr>
          <w:i/>
          <w:iCs/>
          <w:szCs w:val="28"/>
        </w:rPr>
        <w:t>Bâtir le Québec</w:t>
      </w:r>
      <w:r w:rsidRPr="00161146">
        <w:t>, le cabinet Trudeau se devait d’élaborer une strat</w:t>
      </w:r>
      <w:r w:rsidRPr="00161146">
        <w:t>é</w:t>
      </w:r>
      <w:r w:rsidRPr="00161146">
        <w:t>gie de relance économ</w:t>
      </w:r>
      <w:r w:rsidRPr="00161146">
        <w:t>i</w:t>
      </w:r>
      <w:r w:rsidRPr="00161146">
        <w:t>que. Le gouvernement central se proposait d’apparaître comme le fer de lance d'une lutte à finir contre la stagn</w:t>
      </w:r>
      <w:r w:rsidRPr="00161146">
        <w:t>a</w:t>
      </w:r>
      <w:r w:rsidRPr="00161146">
        <w:t>tion économique et comme le principal orchestrateur de la réorganis</w:t>
      </w:r>
      <w:r w:rsidRPr="00161146">
        <w:t>a</w:t>
      </w:r>
      <w:r w:rsidRPr="00161146">
        <w:t>tion économique a</w:t>
      </w:r>
      <w:r w:rsidRPr="00161146">
        <w:t>u</w:t>
      </w:r>
      <w:r w:rsidRPr="00161146">
        <w:t>tour de laquelle devait être menée cette lutte, une démarche rendue impérative par le constat d’échec du fédéral en m</w:t>
      </w:r>
      <w:r w:rsidRPr="00161146">
        <w:t>a</w:t>
      </w:r>
      <w:r w:rsidRPr="00161146">
        <w:t>tière de planification depuis 1960 et plus spécifiquement depuis la v</w:t>
      </w:r>
      <w:r w:rsidRPr="00161146">
        <w:t>e</w:t>
      </w:r>
      <w:r w:rsidRPr="00161146">
        <w:t>nue au pouvoir de Pierre E</w:t>
      </w:r>
      <w:r w:rsidRPr="00161146">
        <w:t>l</w:t>
      </w:r>
      <w:r w:rsidRPr="00161146">
        <w:t>liot Trudeau. Comme l'a démontré une étude de Richard French à l</w:t>
      </w:r>
      <w:r w:rsidRPr="00161146">
        <w:t>a</w:t>
      </w:r>
      <w:r w:rsidRPr="00161146">
        <w:t>quelle les journaux ont fait écho</w:t>
      </w:r>
      <w:r>
        <w:t> </w:t>
      </w:r>
      <w:r>
        <w:rPr>
          <w:rStyle w:val="Appelnotedebasdep"/>
        </w:rPr>
        <w:footnoteReference w:id="17"/>
      </w:r>
      <w:r w:rsidRPr="006B3350">
        <w:t>,</w:t>
      </w:r>
      <w:r w:rsidRPr="00161146">
        <w:t xml:space="preserve"> le gouvernement fédéral en pl</w:t>
      </w:r>
      <w:r w:rsidRPr="00161146">
        <w:t>a</w:t>
      </w:r>
      <w:r w:rsidRPr="00161146">
        <w:t>ce depuis 1968 s’est empêtré dans un océan de programmes aux v</w:t>
      </w:r>
      <w:r w:rsidRPr="00161146">
        <w:t>i</w:t>
      </w:r>
      <w:r w:rsidRPr="00161146">
        <w:t>sées souvent contradictoires.</w:t>
      </w:r>
    </w:p>
    <w:p w14:paraId="1FF70758" w14:textId="77777777" w:rsidR="002775D9" w:rsidRPr="00161146" w:rsidRDefault="002775D9" w:rsidP="002775D9">
      <w:pPr>
        <w:spacing w:before="120" w:after="120"/>
        <w:jc w:val="both"/>
      </w:pPr>
      <w:r w:rsidRPr="00161146">
        <w:t>La pièce centrale du programme de relance économique e</w:t>
      </w:r>
      <w:r w:rsidRPr="00161146">
        <w:t>n</w:t>
      </w:r>
      <w:r w:rsidRPr="00161146">
        <w:t>visagée par Ottawa, le Programme énergétique national (PEN) est lancée cinq mois seulement après le référendum, à l’occasion de la présentation d’un nouveau budget. Rappelons que ce budget tout en cherchant à ménager les contribuables, les consommateurs, les catégories sociales bénéficiant de tran</w:t>
      </w:r>
      <w:r w:rsidRPr="00161146">
        <w:t>s</w:t>
      </w:r>
      <w:r w:rsidRPr="00161146">
        <w:t>ferts et la plupart des fractions de la bourgeoisie, trace les grandes lignes d’une politique énergétique axée sur le renfo</w:t>
      </w:r>
      <w:r w:rsidRPr="00161146">
        <w:t>r</w:t>
      </w:r>
      <w:r w:rsidRPr="00161146">
        <w:t>cement du rôle de l’État central. Le schéma d’ensemble de la nouvelle politique est transparent : le fédéral fait main basse sur l’essentiel des redevances énergétiques qu’il redistribue ensuite à sa guise à travers les provinces canadiennes. Ainsi pense-t-on conserver le contrôle du processus de restructuration économ</w:t>
      </w:r>
      <w:r w:rsidRPr="00161146">
        <w:t>i</w:t>
      </w:r>
      <w:r w:rsidRPr="00161146">
        <w:t>que au</w:t>
      </w:r>
      <w:r>
        <w:t xml:space="preserve"> [79] </w:t>
      </w:r>
      <w:r w:rsidRPr="00161146">
        <w:t>Canada (et infléchir son cours) tout en recueillant l’appui politique des bourgeoisies régi</w:t>
      </w:r>
      <w:r w:rsidRPr="00161146">
        <w:t>o</w:t>
      </w:r>
      <w:r w:rsidRPr="00161146">
        <w:t>nales.</w:t>
      </w:r>
    </w:p>
    <w:p w14:paraId="62E18093" w14:textId="77777777" w:rsidR="002775D9" w:rsidRPr="00161146" w:rsidRDefault="002775D9" w:rsidP="002775D9">
      <w:pPr>
        <w:spacing w:before="120" w:after="120"/>
        <w:jc w:val="both"/>
      </w:pPr>
      <w:r w:rsidRPr="00161146">
        <w:t>C’est notamment la fonction de « fonds de développement de l’Ouest » de 4 milliards de dollars, dont 2 milliards devront être d</w:t>
      </w:r>
      <w:r w:rsidRPr="00161146">
        <w:t>é</w:t>
      </w:r>
      <w:r w:rsidRPr="00161146">
        <w:t>pensés au cours de la période 1980-1983, qui avait pour but la mode</w:t>
      </w:r>
      <w:r w:rsidRPr="00161146">
        <w:t>r</w:t>
      </w:r>
      <w:r w:rsidRPr="00161146">
        <w:t>nisation du réseau de manutention et de transport des céréales, la d</w:t>
      </w:r>
      <w:r w:rsidRPr="00161146">
        <w:t>i</w:t>
      </w:r>
      <w:r w:rsidRPr="00161146">
        <w:t>versification industrielle et l’élaboration d’une politique commerciale et industrielle.</w:t>
      </w:r>
    </w:p>
    <w:p w14:paraId="000E7DCB" w14:textId="77777777" w:rsidR="002775D9" w:rsidRPr="00161146" w:rsidRDefault="002775D9" w:rsidP="002775D9">
      <w:pPr>
        <w:spacing w:before="120" w:after="120"/>
        <w:jc w:val="both"/>
      </w:pPr>
      <w:r w:rsidRPr="00161146">
        <w:t>Le PEN propose l’accroissement de la propriété canadienne sur l’industrie pétrolière. Le projet instaure un système de subvention gradué en fonction du degré de contrôle canadien d’une part et selon la région où sont encourues les dépenses d’exploration, d’autre part. De plus, en nationa</w:t>
      </w:r>
      <w:r>
        <w:t>lisant la multinationale Petro</w:t>
      </w:r>
      <w:r w:rsidRPr="00161146">
        <w:t>fina au profit de P</w:t>
      </w:r>
      <w:r w:rsidRPr="00161146">
        <w:t>e</w:t>
      </w:r>
      <w:r w:rsidRPr="00161146">
        <w:t>tro-Canada, le fédéral con</w:t>
      </w:r>
      <w:r w:rsidRPr="00161146">
        <w:t>s</w:t>
      </w:r>
      <w:r w:rsidRPr="00161146">
        <w:t>truit une gigantesque pétrolière intégrée qui rayonnera d’est en ouest. Enfin, le fédéral prend, à toutes fins prat</w:t>
      </w:r>
      <w:r w:rsidRPr="00161146">
        <w:t>i</w:t>
      </w:r>
      <w:r w:rsidRPr="00161146">
        <w:t>ques, le contrôle du développement énergétique sur les vastes territo</w:t>
      </w:r>
      <w:r w:rsidRPr="00161146">
        <w:t>i</w:t>
      </w:r>
      <w:r w:rsidRPr="00161146">
        <w:t>res du Grand Nord et au large des côtes, en se réservant une particip</w:t>
      </w:r>
      <w:r w:rsidRPr="00161146">
        <w:t>a</w:t>
      </w:r>
      <w:r w:rsidRPr="00161146">
        <w:t>tion de 25% dans tous les projets des régions frontalières. À l’image de ce que furent les chemins de fer au siècle dernier, le PEN s’offre comme axe de relance et de réunification écon</w:t>
      </w:r>
      <w:r w:rsidRPr="00161146">
        <w:t>o</w:t>
      </w:r>
      <w:r w:rsidRPr="00161146">
        <w:t>mique</w:t>
      </w:r>
      <w:r>
        <w:rPr>
          <w:rStyle w:val="Appelnotedebasdep"/>
        </w:rPr>
        <w:footnoteReference w:id="18"/>
      </w:r>
      <w:r w:rsidRPr="00676AC1">
        <w:t>.</w:t>
      </w:r>
    </w:p>
    <w:p w14:paraId="46FC87EC" w14:textId="77777777" w:rsidR="002775D9" w:rsidRPr="00161146" w:rsidRDefault="002775D9" w:rsidP="002775D9">
      <w:pPr>
        <w:spacing w:before="120" w:after="120"/>
        <w:jc w:val="both"/>
      </w:pPr>
      <w:r w:rsidRPr="00161146">
        <w:t>En invitant la bourgeoisie canadienne à accroître sa participation dans les entreprises pétrolières. Trudeau leur propose un pôle de croissance privilégié. Plusieurs entreprises canadiennes ne resteront pas insensibles aux proposit</w:t>
      </w:r>
      <w:r>
        <w:t>ions fédérales. Coup sur coup Do</w:t>
      </w:r>
      <w:r w:rsidRPr="00161146">
        <w:t>me P</w:t>
      </w:r>
      <w:r w:rsidRPr="00161146">
        <w:t>e</w:t>
      </w:r>
      <w:r w:rsidRPr="00161146">
        <w:t>troleum</w:t>
      </w:r>
      <w:r>
        <w:t xml:space="preserve"> </w:t>
      </w:r>
      <w:r w:rsidRPr="00161146">
        <w:t>se canadianise et devient propriétaire de Hudson Bay Oil and Gas ai</w:t>
      </w:r>
      <w:r w:rsidRPr="00161146">
        <w:t>n</w:t>
      </w:r>
      <w:r w:rsidRPr="00161146">
        <w:t>si que de Davie Shipbuilding ; Petro</w:t>
      </w:r>
      <w:r>
        <w:t>f</w:t>
      </w:r>
      <w:r w:rsidRPr="00161146">
        <w:t>ina, Pacific Petroleum et 600 millions de dollars d’actifs de British Petr</w:t>
      </w:r>
      <w:r w:rsidRPr="00161146">
        <w:t>o</w:t>
      </w:r>
      <w:r w:rsidRPr="00161146">
        <w:t>leum passent aux mains de Petrocan : la CDC acquiert Aquita</w:t>
      </w:r>
      <w:r w:rsidRPr="00161146">
        <w:t>i</w:t>
      </w:r>
      <w:r w:rsidRPr="00161146">
        <w:t>ne ; Husky-oil achète Uno-Tex et Shell Explorer, l’Ontario Energy corp. investit 453 mi</w:t>
      </w:r>
      <w:r w:rsidRPr="00161146">
        <w:t>l</w:t>
      </w:r>
      <w:r w:rsidRPr="00161146">
        <w:t>lions dans l’acquisition de Candel Oil et se porte acquéreur de 25% de Suncor</w:t>
      </w:r>
      <w:r>
        <w:t> </w:t>
      </w:r>
      <w:r>
        <w:rPr>
          <w:rStyle w:val="Appelnotedebasdep"/>
        </w:rPr>
        <w:footnoteReference w:id="19"/>
      </w:r>
      <w:r w:rsidRPr="003F60E5">
        <w:t>.</w:t>
      </w:r>
      <w:r w:rsidRPr="00161146">
        <w:t xml:space="preserve"> De janvier</w:t>
      </w:r>
      <w:r>
        <w:t xml:space="preserve"> à juin 1981 la valeur des tran</w:t>
      </w:r>
      <w:r w:rsidRPr="00161146">
        <w:t>sactions dans l’industrie p</w:t>
      </w:r>
      <w:r w:rsidRPr="00161146">
        <w:t>é</w:t>
      </w:r>
      <w:r w:rsidRPr="00161146">
        <w:t>trolière canadienne atteint 5,5 milliards de dollars dont près de la mo</w:t>
      </w:r>
      <w:r w:rsidRPr="00161146">
        <w:t>i</w:t>
      </w:r>
      <w:r w:rsidRPr="00161146">
        <w:t>tié est directement imputable au secteur privé. Même les très québécois</w:t>
      </w:r>
      <w:r>
        <w:t>es Coopérative fédérée et Télé-</w:t>
      </w:r>
      <w:r w:rsidRPr="00161146">
        <w:t>Métropole compt</w:t>
      </w:r>
      <w:r w:rsidRPr="00161146">
        <w:t>e</w:t>
      </w:r>
      <w:r w:rsidRPr="00161146">
        <w:t>ront parmi les entreprises qui se laisseront charmer par le PEN et qui i</w:t>
      </w:r>
      <w:r w:rsidRPr="00161146">
        <w:t>n</w:t>
      </w:r>
      <w:r w:rsidRPr="00161146">
        <w:t>vestiront dans l’exploration pétrolière. À ce chapitre, le fédéral créera l’espace nécessaire en révoquant en décembre 1981 50% des territo</w:t>
      </w:r>
      <w:r w:rsidRPr="00161146">
        <w:t>i</w:t>
      </w:r>
      <w:r w:rsidRPr="00161146">
        <w:t>res d’exploration détenus par les grandes pétrolières en vue de les c</w:t>
      </w:r>
      <w:r w:rsidRPr="00161146">
        <w:t>é</w:t>
      </w:r>
      <w:r w:rsidRPr="00161146">
        <w:t>der à des entreprises canadiennes. Ainsi, en 1981, seulement, le contrôle canadien des revenus de l’industrie pétrolière effectue un bond de 26,1% à 32,8%.</w:t>
      </w:r>
    </w:p>
    <w:p w14:paraId="60F744E5" w14:textId="77777777" w:rsidR="002775D9" w:rsidRPr="00161146" w:rsidRDefault="002775D9" w:rsidP="002775D9">
      <w:pPr>
        <w:spacing w:before="120" w:after="120"/>
        <w:jc w:val="both"/>
      </w:pPr>
      <w:r w:rsidRPr="00161146">
        <w:t>Le PEN vise également à remettre le Canada au trava</w:t>
      </w:r>
      <w:r>
        <w:t>il à travers des méga</w:t>
      </w:r>
      <w:r w:rsidRPr="00161146">
        <w:t>projets comme Alsands, Cold Lake, le Gazéoduc de l’Alaska, l’exploration et l’exploitation des richesses « </w:t>
      </w:r>
      <w:r>
        <w:t>off-shore », le pipeline Trans-</w:t>
      </w:r>
      <w:r w:rsidRPr="00161146">
        <w:t>Québec-Maritimes</w:t>
      </w:r>
      <w:r>
        <w:t> </w:t>
      </w:r>
      <w:r>
        <w:rPr>
          <w:rStyle w:val="Appelnotedebasdep"/>
        </w:rPr>
        <w:footnoteReference w:id="20"/>
      </w:r>
      <w:r w:rsidRPr="003F60E5">
        <w:t>.</w:t>
      </w:r>
      <w:r w:rsidRPr="00161146">
        <w:t xml:space="preserve"> Ottawa compte notamment r</w:t>
      </w:r>
      <w:r w:rsidRPr="00161146">
        <w:t>e</w:t>
      </w:r>
      <w:r w:rsidRPr="00161146">
        <w:t>lancer l’activité industrielle du centre du pays (dont l’Ontario est le pri</w:t>
      </w:r>
      <w:r w:rsidRPr="00161146">
        <w:t>n</w:t>
      </w:r>
      <w:r w:rsidRPr="00161146">
        <w:t>cipal bénéficiaire). On évalue à plusieurs centaines de milliards l’impact direct et indirect du PEN. Le projet devait permettre au C</w:t>
      </w:r>
      <w:r w:rsidRPr="00161146">
        <w:t>a</w:t>
      </w:r>
      <w:r w:rsidRPr="00161146">
        <w:t>nada de traverser la</w:t>
      </w:r>
      <w:r>
        <w:t xml:space="preserve"> [80] </w:t>
      </w:r>
      <w:r w:rsidRPr="00161146">
        <w:t>crise sans trop de dommages et lui offrir la possibilité d’atteindre l’auto-suffisance énergétique pour 1990. Les visées du PEN étaient à la fois audacieuses, ambitieuses et très lucr</w:t>
      </w:r>
      <w:r w:rsidRPr="00161146">
        <w:t>a</w:t>
      </w:r>
      <w:r w:rsidRPr="00161146">
        <w:t>tives. Il visait à ouvrir aux monopoles canadiens le secteur le plus l</w:t>
      </w:r>
      <w:r w:rsidRPr="00161146">
        <w:t>u</w:t>
      </w:r>
      <w:r w:rsidRPr="00161146">
        <w:t>cratif de l’industrie tout en redonnant au fédéral la haute main sur le processus de structuration de l’espace économique canadien et en mettant au pas les provinces. Il propose enfin une stratégie d’expansion économique pour la décennie alors que les projections de croissance par ailleurs étaient faibles.</w:t>
      </w:r>
    </w:p>
    <w:p w14:paraId="091AFCB5" w14:textId="77777777" w:rsidR="002775D9" w:rsidRPr="00161146" w:rsidRDefault="002775D9" w:rsidP="002775D9">
      <w:pPr>
        <w:spacing w:before="120" w:after="120"/>
        <w:jc w:val="both"/>
      </w:pPr>
      <w:r w:rsidRPr="00161146">
        <w:t>Pourtant, dans l’ensemble, l’industrie pétrolière a réagi négativ</w:t>
      </w:r>
      <w:r w:rsidRPr="00161146">
        <w:t>e</w:t>
      </w:r>
      <w:r w:rsidRPr="00161146">
        <w:t>ment à la politique énergétique du fédéral. L’entreprise privée et les provinces productrices se sont senties spoliées. Moins que le partage des redevances, c’est le plafonnement des prix du pétrole, ou tout au moins le très graduel ajustement du prix canadien sur le prix intern</w:t>
      </w:r>
      <w:r w:rsidRPr="00161146">
        <w:t>a</w:t>
      </w:r>
      <w:r w:rsidRPr="00161146">
        <w:t>tional, qui a suscité la plus grande hostilité. Ainsi plusieurs pétrolières junior ont-elles d</w:t>
      </w:r>
      <w:r w:rsidRPr="00161146">
        <w:t>é</w:t>
      </w:r>
      <w:r w:rsidRPr="00161146">
        <w:t>cidé de transférer leurs opérations aux États-Unis où le prix du pétrole était supérieur de 40%. Seagram a préféré placer ses milliards dans les ressources naturelles aux États-Unis. Pl</w:t>
      </w:r>
      <w:r w:rsidRPr="00161146">
        <w:t>u</w:t>
      </w:r>
      <w:r w:rsidRPr="00161146">
        <w:t>sieurs des firmes engagées dans l’exploitation pétrolière et g</w:t>
      </w:r>
      <w:r w:rsidRPr="00161146">
        <w:t>a</w:t>
      </w:r>
      <w:r w:rsidRPr="00161146">
        <w:t>zière comme la canad</w:t>
      </w:r>
      <w:r>
        <w:t>ienne Norcen Energy (Hollinger-</w:t>
      </w:r>
      <w:r w:rsidRPr="00161146">
        <w:t>Argus) n’ont pas caché leur préférence pour une plus grande libéralis</w:t>
      </w:r>
      <w:r w:rsidRPr="00161146">
        <w:t>a</w:t>
      </w:r>
      <w:r w:rsidRPr="00161146">
        <w:t>tion du marché. Certaines d’entre elles ont même réduit la part de leurs opérations locales et a</w:t>
      </w:r>
      <w:r w:rsidRPr="00161146">
        <w:t>c</w:t>
      </w:r>
      <w:r w:rsidRPr="00161146">
        <w:t>cru leurs activités aux États-Unis.</w:t>
      </w:r>
      <w:r>
        <w:t xml:space="preserve"> </w:t>
      </w:r>
    </w:p>
    <w:p w14:paraId="6B5D545D" w14:textId="77777777" w:rsidR="002775D9" w:rsidRPr="00161146" w:rsidRDefault="002775D9" w:rsidP="002775D9">
      <w:pPr>
        <w:spacing w:before="120" w:after="120"/>
        <w:jc w:val="both"/>
      </w:pPr>
      <w:r w:rsidRPr="00161146">
        <w:t>Les provinces les plus impliquées (Alberta, Terre-Neuve) réagiront très négativement au projet. En mars</w:t>
      </w:r>
      <w:r>
        <w:t> </w:t>
      </w:r>
      <w:r w:rsidRPr="00161146">
        <w:t>81, l’Alberta réplique à la polit</w:t>
      </w:r>
      <w:r w:rsidRPr="00161146">
        <w:t>i</w:t>
      </w:r>
      <w:r w:rsidRPr="00161146">
        <w:t>que fédérale en réduisant sa production pétrolière de 60</w:t>
      </w:r>
      <w:r>
        <w:t> </w:t>
      </w:r>
      <w:r w:rsidRPr="00161146">
        <w:t>000 b</w:t>
      </w:r>
      <w:r w:rsidRPr="00161146">
        <w:t>a</w:t>
      </w:r>
      <w:r w:rsidRPr="00161146">
        <w:t>rils/jours, puis encore une fois un juin. Non seulement le roi du pétrole qu’est Lougheed exige-t-il le retrait immédiat du fédéral d’un champ de juridiction provincial, mais il r</w:t>
      </w:r>
      <w:r w:rsidRPr="00161146">
        <w:t>é</w:t>
      </w:r>
      <w:r w:rsidRPr="00161146">
        <w:t>clame à hauts cris l’enlignement du prix canadien du pétrole sur le prix international en même temps qu’une redistribution des richesses plus généreuse pour les entreprises privées. À l’est, Terre-Neuve e</w:t>
      </w:r>
      <w:r w:rsidRPr="00161146">
        <w:t>n</w:t>
      </w:r>
      <w:r w:rsidRPr="00161146">
        <w:t>tend profiter de l’affrontement pour arracher la juridiction sur les hauts fonds marins, une zone grise de la constitution. La résistance provi</w:t>
      </w:r>
      <w:r w:rsidRPr="00161146">
        <w:t>n</w:t>
      </w:r>
      <w:r w:rsidRPr="00161146">
        <w:t>ciale semble inébranlable, l’offensive fédérale pourrait échouer, ose-t-on affirmer dans les co</w:t>
      </w:r>
      <w:r w:rsidRPr="00161146">
        <w:t>u</w:t>
      </w:r>
      <w:r w:rsidRPr="00161146">
        <w:t>lisses du pouvoir à Québec.</w:t>
      </w:r>
    </w:p>
    <w:p w14:paraId="767A5EDB" w14:textId="77777777" w:rsidR="002775D9" w:rsidRPr="00161146" w:rsidRDefault="002775D9" w:rsidP="002775D9">
      <w:pPr>
        <w:spacing w:before="120" w:after="120"/>
        <w:jc w:val="both"/>
      </w:pPr>
      <w:r w:rsidRPr="00161146">
        <w:t>La série d’accords avec les provinces de l’ouest survenue à l’été et l’automne 1981 désamorce le débat. Contre confirmation de leur jur</w:t>
      </w:r>
      <w:r w:rsidRPr="00161146">
        <w:t>i</w:t>
      </w:r>
      <w:r w:rsidRPr="00161146">
        <w:t>diction sur les ressources naturelles et un partage du gâteau plus prof</w:t>
      </w:r>
      <w:r w:rsidRPr="00161146">
        <w:t>i</w:t>
      </w:r>
      <w:r w:rsidRPr="00161146">
        <w:t>table aux entreprises, trois provinces de l’ouest, et tout particulièr</w:t>
      </w:r>
      <w:r w:rsidRPr="00161146">
        <w:t>e</w:t>
      </w:r>
      <w:r w:rsidRPr="00161146">
        <w:t>ment l’Alberta, acceptent de partic</w:t>
      </w:r>
      <w:r w:rsidRPr="00161146">
        <w:t>i</w:t>
      </w:r>
      <w:r w:rsidRPr="00161146">
        <w:t>per à la PEN. Seule Terre-Neuve, à travers une stratégie qui laissera plus d’un observateur perplexe, co</w:t>
      </w:r>
      <w:r w:rsidRPr="00161146">
        <w:t>n</w:t>
      </w:r>
      <w:r w:rsidRPr="00161146">
        <w:t>tinuera à refuser les offres d’Ottawa même après la signature en mars 82 d’un acc</w:t>
      </w:r>
      <w:r>
        <w:t>ord entre Ottawa et le Nouveau-</w:t>
      </w:r>
      <w:r w:rsidRPr="00161146">
        <w:t>Brunswick sur les re</w:t>
      </w:r>
      <w:r w:rsidRPr="00161146">
        <w:t>s</w:t>
      </w:r>
      <w:r w:rsidRPr="00161146">
        <w:t>sources extraterritoriales (« off-shore ») de cette province.</w:t>
      </w:r>
    </w:p>
    <w:p w14:paraId="4F95E720" w14:textId="77777777" w:rsidR="002775D9" w:rsidRPr="00161146" w:rsidRDefault="002775D9" w:rsidP="002775D9">
      <w:pPr>
        <w:spacing w:before="120" w:after="120"/>
        <w:jc w:val="both"/>
      </w:pPr>
      <w:r w:rsidRPr="00161146">
        <w:t>Moins ambitieux que le projet initial, les accords de 1981 perme</w:t>
      </w:r>
      <w:r w:rsidRPr="00161146">
        <w:t>t</w:t>
      </w:r>
      <w:r w:rsidRPr="00161146">
        <w:t>tront néanmoins à Ottawa de marquer des points. En premier lieu, il apparaît important de signaler qu’il sort grand gagnant sur le plan p</w:t>
      </w:r>
      <w:r w:rsidRPr="00161146">
        <w:t>é</w:t>
      </w:r>
      <w:r>
        <w:t>cu</w:t>
      </w:r>
      <w:r w:rsidRPr="00161146">
        <w:t xml:space="preserve">nier. </w:t>
      </w:r>
      <w:r>
        <w:t xml:space="preserve">[81] </w:t>
      </w:r>
      <w:r w:rsidRPr="00161146">
        <w:t>Avant 1980, Ottawa ne retirait que 11% de la valeur des richesses pétrolières ; l’accord avec Edmonton du 2 se</w:t>
      </w:r>
      <w:r w:rsidRPr="00161146">
        <w:t>p</w:t>
      </w:r>
      <w:r w:rsidRPr="00161146">
        <w:t>tembre 1981 lui en cède 25% (la part provinciale dans ce cas précis passe de 42% à 30%). Par ailleurs, de plus en plus présent dans l’industrie, via Petr</w:t>
      </w:r>
      <w:r w:rsidRPr="00161146">
        <w:t>o</w:t>
      </w:r>
      <w:r w:rsidRPr="00161146">
        <w:t>can et la CDC, le fédéral s’assure pour l’avenir une tranche signific</w:t>
      </w:r>
      <w:r w:rsidRPr="00161146">
        <w:t>a</w:t>
      </w:r>
      <w:r w:rsidRPr="00161146">
        <w:t>tive des profits laissés à l’industrie. Second aspect important de la question, les accords viennent confirmer un certain nombre d’ouvertures par le</w:t>
      </w:r>
      <w:r w:rsidRPr="00161146">
        <w:t>s</w:t>
      </w:r>
      <w:r w:rsidRPr="00161146">
        <w:t>quelles Ottawa peut d’une part mettre de l’avant ses propres strat</w:t>
      </w:r>
      <w:r w:rsidRPr="00161146">
        <w:t>é</w:t>
      </w:r>
      <w:r w:rsidRPr="00161146">
        <w:t>gies de développement et d’autre part, investir de façon indirecte et à son avantage des champs de juridiction provinci</w:t>
      </w:r>
      <w:r w:rsidRPr="00161146">
        <w:t>a</w:t>
      </w:r>
      <w:r w:rsidRPr="00161146">
        <w:t>le. Notons qu’Ottawa a d’ailleurs profité de cette lacune pour mettre de l’avant d’autres mes</w:t>
      </w:r>
      <w:r w:rsidRPr="00161146">
        <w:t>u</w:t>
      </w:r>
      <w:r w:rsidRPr="00161146">
        <w:t>res allant dans le même sens, dont le projet d’expropriation d’une bande de terre en sol québécois auquel nous avons précédemment fait allusion.</w:t>
      </w:r>
    </w:p>
    <w:p w14:paraId="44D0A24C" w14:textId="77777777" w:rsidR="002775D9" w:rsidRPr="00161146" w:rsidRDefault="002775D9" w:rsidP="002775D9">
      <w:pPr>
        <w:spacing w:before="120" w:after="120"/>
        <w:jc w:val="both"/>
      </w:pPr>
      <w:r w:rsidRPr="00161146">
        <w:t>L’entente survenue en mars 1982 entre Ottawa et Halifax sur l’exploitation d’</w:t>
      </w:r>
      <w:r>
        <w:t>une partie des ressources extra</w:t>
      </w:r>
      <w:r w:rsidRPr="00161146">
        <w:t>territoriales (« off-shore ») de la côte est a permis au fédéral de marquer un autre point. Dans ce cas précis, contre l’engagement d’être le seul « encaisseur de dollars » pour les prochains vingt-cinq ans, la Nouvelle-Écosse a abandonné toute velléité de contrôle sur les dites ressources. Il existe désormais au moins une province qui reconnaît la juridiction pleine et entière du fédéral sur les ressources côtières.</w:t>
      </w:r>
    </w:p>
    <w:p w14:paraId="12EF1820" w14:textId="77777777" w:rsidR="002775D9" w:rsidRPr="00161146" w:rsidRDefault="002775D9" w:rsidP="002775D9">
      <w:pPr>
        <w:spacing w:before="120" w:after="120"/>
        <w:jc w:val="both"/>
      </w:pPr>
      <w:r w:rsidRPr="00161146">
        <w:t>N’eût été de l’insatisfaction d’un grand nombre de compagnies f</w:t>
      </w:r>
      <w:r w:rsidRPr="00161146">
        <w:t>a</w:t>
      </w:r>
      <w:r w:rsidRPr="00161146">
        <w:t>ce aux perspectives</w:t>
      </w:r>
      <w:r>
        <w:t xml:space="preserve"> de rendement de plusieurs méga</w:t>
      </w:r>
      <w:r w:rsidRPr="00161146">
        <w:t>projets que les ententes ont réduites, n’eût été également de la stagnation mondiale des prix du pétrole qui a caractérisé les derniers mois à la faveur d’une chute de la consommation liée à l’approfondissement de la crise et à l’effritement du front des pays producteurs (OPEP) forçant les provi</w:t>
      </w:r>
      <w:r w:rsidRPr="00161146">
        <w:t>n</w:t>
      </w:r>
      <w:r w:rsidRPr="00161146">
        <w:t>ces signataires et Ottawa à réévaluer leur entente à la baisse (1983), la stratégie fédérale aurait peut-être fonctionné et permis, sinon une r</w:t>
      </w:r>
      <w:r w:rsidRPr="00161146">
        <w:t>e</w:t>
      </w:r>
      <w:r w:rsidRPr="00161146">
        <w:t>lance, tout au moins le maintien de l’activité industrielle à un n</w:t>
      </w:r>
      <w:r w:rsidRPr="00161146">
        <w:t>i</w:t>
      </w:r>
      <w:r w:rsidRPr="00161146">
        <w:t>veau plus élevé. L’opération a toutefois avorté pour l’essentiel. L’abandon du projet Cold Lake dirigé par Esso au début de l’année 1982, puis le retrait de Shell Explorer (cinquième déserteur et princ</w:t>
      </w:r>
      <w:r w:rsidRPr="00161146">
        <w:t>i</w:t>
      </w:r>
      <w:r w:rsidRPr="00161146">
        <w:t>pal participant avec 25% des parts) de Allsands qui a précipité la l</w:t>
      </w:r>
      <w:r w:rsidRPr="00161146">
        <w:t>i</w:t>
      </w:r>
      <w:r w:rsidRPr="00161146">
        <w:t>quidation de tout le programme d’exploitati</w:t>
      </w:r>
      <w:r>
        <w:t>on des sables bitumineux alber</w:t>
      </w:r>
      <w:r w:rsidRPr="00161146">
        <w:t>tains, la m</w:t>
      </w:r>
      <w:r w:rsidRPr="00161146">
        <w:t>i</w:t>
      </w:r>
      <w:r w:rsidRPr="00161146">
        <w:t>se au rancart du gazéoduc de l’Alaska, le report de nombreux projets de Dôme Canada parmi lesquels figure la constru</w:t>
      </w:r>
      <w:r w:rsidRPr="00161146">
        <w:t>c</w:t>
      </w:r>
      <w:r w:rsidRPr="00161146">
        <w:t>tion d’un super port pour méthanier dans la zone côtière du golfe du St-Laurent ont en e</w:t>
      </w:r>
      <w:r w:rsidRPr="00161146">
        <w:t>f</w:t>
      </w:r>
      <w:r w:rsidRPr="00161146">
        <w:t>fet remis en question toute l’approche fédérale et précipité ce qu’il est convenu d’appeler une « crise de per</w:t>
      </w:r>
      <w:r w:rsidRPr="00161146">
        <w:t>s</w:t>
      </w:r>
      <w:r w:rsidRPr="00161146">
        <w:t>pective » à Ottawa. Ce sont des dizaines de milliards en inve</w:t>
      </w:r>
      <w:r w:rsidRPr="00161146">
        <w:t>s</w:t>
      </w:r>
      <w:r w:rsidRPr="00161146">
        <w:t>tissements et des centaines de milliards en retombées dont sont privées les industries canadiennes. La nouvelle conjoncture place par ailleurs plusieurs grandes entreprises canadie</w:t>
      </w:r>
      <w:r w:rsidRPr="00161146">
        <w:t>n</w:t>
      </w:r>
      <w:r w:rsidRPr="00161146">
        <w:t>nes dans une situation délicate. Celles-ci se sont en effet endettées dans le cadre du PEN et ne disposent plus nécessairement des fonds pour amorcer un redéploiement de leurs i</w:t>
      </w:r>
      <w:r w:rsidRPr="00161146">
        <w:t>n</w:t>
      </w:r>
      <w:r w:rsidRPr="00161146">
        <w:t>térêts.</w:t>
      </w:r>
    </w:p>
    <w:p w14:paraId="797D4748" w14:textId="77777777" w:rsidR="002775D9" w:rsidRPr="00161146" w:rsidRDefault="002775D9" w:rsidP="002775D9">
      <w:pPr>
        <w:spacing w:before="120" w:after="120"/>
        <w:jc w:val="both"/>
      </w:pPr>
      <w:r w:rsidRPr="00161146">
        <w:t>Sur un autre front, de plus en</w:t>
      </w:r>
      <w:r>
        <w:t xml:space="preserve"> [82] </w:t>
      </w:r>
      <w:r w:rsidRPr="00161146">
        <w:t>plus égocentrique et frustré du nationalisme des autres, Washington a vertement critiqué les offens</w:t>
      </w:r>
      <w:r w:rsidRPr="00161146">
        <w:t>i</w:t>
      </w:r>
      <w:r w:rsidRPr="00161146">
        <w:t>ves canadiennes des derniers mois. En plus de dénoncer les prises de contrôle canadiennes en sol amér</w:t>
      </w:r>
      <w:r w:rsidRPr="00161146">
        <w:t>i</w:t>
      </w:r>
      <w:r w:rsidRPr="00161146">
        <w:t>cain, le gouvernement Reagan conteste actuellement l'Agence d'examen des investissements étra</w:t>
      </w:r>
      <w:r w:rsidRPr="00161146">
        <w:t>n</w:t>
      </w:r>
      <w:r w:rsidRPr="00161146">
        <w:t>gers (mieux connue sous son sigle a</w:t>
      </w:r>
      <w:r w:rsidRPr="00161146">
        <w:t>n</w:t>
      </w:r>
      <w:r w:rsidRPr="00161146">
        <w:t>glais FIRA) devant le GATT. Les risques de voir sa stratégie protectionniste ébréchée contr</w:t>
      </w:r>
      <w:r w:rsidRPr="00161146">
        <w:t>i</w:t>
      </w:r>
      <w:r w:rsidRPr="00161146">
        <w:t>buent très certainement à pousser Ottawa vers l’élaboration de nouveaux projets. La menace d’une guerre commerciale internati</w:t>
      </w:r>
      <w:r w:rsidRPr="00161146">
        <w:t>o</w:t>
      </w:r>
      <w:r w:rsidRPr="00161146">
        <w:t>nale apparue à la rencontre du GATT de novembre dernier (1982) m</w:t>
      </w:r>
      <w:r w:rsidRPr="00161146">
        <w:t>o</w:t>
      </w:r>
      <w:r w:rsidRPr="00161146">
        <w:t>tive encore plus Ottawa dans sa recherche de nouvelles bases, concurrentielles et d</w:t>
      </w:r>
      <w:r w:rsidRPr="00161146">
        <w:t>y</w:t>
      </w:r>
      <w:r w:rsidRPr="00161146">
        <w:t>namiques, pour l'industrie canadienne dans son ense</w:t>
      </w:r>
      <w:r w:rsidRPr="00161146">
        <w:t>m</w:t>
      </w:r>
      <w:r w:rsidRPr="00161146">
        <w:t>ble et le grand capital canadien en particulier.</w:t>
      </w:r>
    </w:p>
    <w:p w14:paraId="5624962F" w14:textId="77777777" w:rsidR="002775D9" w:rsidRPr="00161146" w:rsidRDefault="002775D9" w:rsidP="002775D9">
      <w:pPr>
        <w:spacing w:before="120" w:after="120"/>
        <w:jc w:val="both"/>
      </w:pPr>
      <w:r w:rsidRPr="00161146">
        <w:t>Que dire maintenant des forces régionales, sinon qu’elles apparai</w:t>
      </w:r>
      <w:r w:rsidRPr="00161146">
        <w:t>s</w:t>
      </w:r>
      <w:r w:rsidRPr="00161146">
        <w:t>sent à nouveau des plus menaçantes. N’ayant pas rempli ses prome</w:t>
      </w:r>
      <w:r w:rsidRPr="00161146">
        <w:t>s</w:t>
      </w:r>
      <w:r w:rsidRPr="00161146">
        <w:t>ses, le PEN n’est pas parvenu à enclencher le processus d’identification prédominante de ces forces du go</w:t>
      </w:r>
      <w:r w:rsidRPr="00161146">
        <w:t>u</w:t>
      </w:r>
      <w:r w:rsidRPr="00161146">
        <w:t>vernement central et de mouvement d’intégration aux rangs de la grande bourgeoisie c</w:t>
      </w:r>
      <w:r w:rsidRPr="00161146">
        <w:t>a</w:t>
      </w:r>
      <w:r w:rsidRPr="00161146">
        <w:t>nadienne. Dans le cas québécois, le programme énergétique n’a eu que peu d’impact et a dû composer avec l’État provincial dans certa</w:t>
      </w:r>
      <w:r w:rsidRPr="00161146">
        <w:t>i</w:t>
      </w:r>
      <w:r w:rsidRPr="00161146">
        <w:t>nes sphères, notamment le gaz</w:t>
      </w:r>
      <w:r>
        <w:t> </w:t>
      </w:r>
      <w:r>
        <w:rPr>
          <w:rStyle w:val="Appelnotedebasdep"/>
        </w:rPr>
        <w:footnoteReference w:id="21"/>
      </w:r>
      <w:r w:rsidRPr="00161146">
        <w:t>. Échaudé par le non-respect des promesses de reto</w:t>
      </w:r>
      <w:r w:rsidRPr="00161146">
        <w:t>m</w:t>
      </w:r>
      <w:r w:rsidRPr="00161146">
        <w:t>bées économiques dans le dossier du F-18 et celui plus récent des frégates, Québec risque fort d’abandonner l’attitude plutôt conciliante qu’il a adopté depuis deux ans à l’endroit de la ge</w:t>
      </w:r>
      <w:r w:rsidRPr="00161146">
        <w:t>s</w:t>
      </w:r>
      <w:r w:rsidRPr="00161146">
        <w:t>tion économique d’Ottawa.</w:t>
      </w:r>
    </w:p>
    <w:p w14:paraId="54A25AD2" w14:textId="77777777" w:rsidR="002775D9" w:rsidRPr="00161146" w:rsidRDefault="002775D9" w:rsidP="002775D9">
      <w:pPr>
        <w:spacing w:before="120" w:after="120"/>
        <w:jc w:val="both"/>
      </w:pPr>
      <w:r w:rsidRPr="00161146">
        <w:t>Dans le cas albertain une autre zone chaude, on n’hésite pas à tenir Ottawa responsable des déboires que connaissent depuis quelques mois les entreprises locales. C’est dans ce cas-ci parce qu’il n’a pas été assez généreux à l’endroit des entreprises pr</w:t>
      </w:r>
      <w:r w:rsidRPr="00161146">
        <w:t>i</w:t>
      </w:r>
      <w:r w:rsidRPr="00161146">
        <w:t>vées que le PEN est décrié. Du côté terre-neuvien, l’impasse reste entière semble-t-il en ce qui a trait au partage des riche</w:t>
      </w:r>
      <w:r w:rsidRPr="00161146">
        <w:t>s</w:t>
      </w:r>
      <w:r w:rsidRPr="00161146">
        <w:t>ses côtières et de la redistribution des retombées qui en déco</w:t>
      </w:r>
      <w:r w:rsidRPr="00161146">
        <w:t>u</w:t>
      </w:r>
      <w:r w:rsidRPr="00161146">
        <w:t>leront dans le futur.</w:t>
      </w:r>
    </w:p>
    <w:p w14:paraId="73830AA5" w14:textId="77777777" w:rsidR="002775D9" w:rsidRDefault="002775D9" w:rsidP="002775D9">
      <w:pPr>
        <w:spacing w:before="120" w:after="120"/>
        <w:jc w:val="both"/>
      </w:pPr>
      <w:r>
        <w:br w:type="page"/>
      </w:r>
    </w:p>
    <w:p w14:paraId="053C4C6A" w14:textId="77777777" w:rsidR="002775D9" w:rsidRPr="00361821" w:rsidRDefault="002775D9" w:rsidP="002775D9">
      <w:pPr>
        <w:pStyle w:val="a"/>
      </w:pPr>
      <w:r w:rsidRPr="00361821">
        <w:t>Vers une nouvelle stratégie ?</w:t>
      </w:r>
    </w:p>
    <w:p w14:paraId="754C2458" w14:textId="77777777" w:rsidR="002775D9" w:rsidRDefault="002775D9" w:rsidP="002775D9">
      <w:pPr>
        <w:spacing w:before="120" w:after="120"/>
        <w:jc w:val="both"/>
      </w:pPr>
    </w:p>
    <w:p w14:paraId="051B39C3" w14:textId="77777777" w:rsidR="002775D9" w:rsidRPr="00161146" w:rsidRDefault="002775D9" w:rsidP="002775D9">
      <w:pPr>
        <w:spacing w:before="120" w:after="120"/>
        <w:jc w:val="both"/>
      </w:pPr>
      <w:r w:rsidRPr="00161146">
        <w:t>C’est pour trouver une solution à ses multiples problèmes, rebâtir une épine dorsale à l’économie canadienne en fonction des nouvelles règles du jeu économique mondial que le go</w:t>
      </w:r>
      <w:r w:rsidRPr="00161146">
        <w:t>u</w:t>
      </w:r>
      <w:r w:rsidRPr="00161146">
        <w:t>vernement Trudeau a créé il y a quelques mois la Commission Mac Donald. Jouissant d’un mandat très large, cette commi</w:t>
      </w:r>
      <w:r w:rsidRPr="00161146">
        <w:t>s</w:t>
      </w:r>
      <w:r w:rsidRPr="00161146">
        <w:t>sion se voit chargée de la mission de définir un nouveau cadre qui permettra au gouvernement Trudeau de poursuivre sa longue marche vers l’État unitaire</w:t>
      </w:r>
      <w:r>
        <w:t> </w:t>
      </w:r>
      <w:r>
        <w:rPr>
          <w:rStyle w:val="Appelnotedebasdep"/>
        </w:rPr>
        <w:footnoteReference w:id="22"/>
      </w:r>
      <w:r w:rsidRPr="00361821">
        <w:t>.</w:t>
      </w:r>
      <w:r w:rsidRPr="00161146">
        <w:t xml:space="preserve"> Il semble déjà év</w:t>
      </w:r>
      <w:r w:rsidRPr="00161146">
        <w:t>i</w:t>
      </w:r>
      <w:r w:rsidRPr="00161146">
        <w:t>dent que l’opération ne se bornera pas à la publication de vœux pieux en matière d’encadrement industriel ; elle apparaît comme le reflet d'une volonté de planification de la restructuration économique en même temps qu’une offensive en vue d’éventrer les stratégies écon</w:t>
      </w:r>
      <w:r w:rsidRPr="00161146">
        <w:t>o</w:t>
      </w:r>
      <w:r w:rsidRPr="00161146">
        <w:t>miques régionales, principalement celle du Québec. Non seulement la Commission doit-elle proposer des mesures en vue de maintenir la bourgeoisie canadienne dans le peloton de tête des pays industrialisés, mais elle doit si possible ident</w:t>
      </w:r>
      <w:r w:rsidRPr="00161146">
        <w:t>i</w:t>
      </w:r>
      <w:r w:rsidRPr="00161146">
        <w:t>fier des axes en fonction desquels</w:t>
      </w:r>
      <w:r>
        <w:t xml:space="preserve"> [83] </w:t>
      </w:r>
      <w:r w:rsidRPr="00161146">
        <w:t>elle pourrait améliorer son sort. La Commission doit également te</w:t>
      </w:r>
      <w:r w:rsidRPr="00161146">
        <w:t>n</w:t>
      </w:r>
      <w:r w:rsidRPr="00161146">
        <w:t>ter de déterminer des mécanismes aptes à amorcer l’unification des forces capitalistes du Canada.</w:t>
      </w:r>
    </w:p>
    <w:p w14:paraId="00838FA3" w14:textId="77777777" w:rsidR="002775D9" w:rsidRPr="00161146" w:rsidRDefault="002775D9" w:rsidP="002775D9">
      <w:pPr>
        <w:spacing w:before="120" w:after="120"/>
        <w:jc w:val="both"/>
      </w:pPr>
      <w:r w:rsidRPr="00161146">
        <w:t>Dans cette perspective, il est à prévoir que Donald MacDonald et ses commissaires porteront une attention toute partic</w:t>
      </w:r>
      <w:r w:rsidRPr="00161146">
        <w:t>u</w:t>
      </w:r>
      <w:r w:rsidRPr="00161146">
        <w:t>lière à l’étude de la dynamique économique mondiale, du protectionnisme, de la polit</w:t>
      </w:r>
      <w:r w:rsidRPr="00161146">
        <w:t>i</w:t>
      </w:r>
      <w:r w:rsidRPr="00161146">
        <w:t>que monétaire et fiscale, du rôle de l'État dans l’économie, du pa</w:t>
      </w:r>
      <w:r w:rsidRPr="00161146">
        <w:t>r</w:t>
      </w:r>
      <w:r w:rsidRPr="00161146">
        <w:t>tage des pouvoirs, du travail et des mécanismes qui le régissent en même temps que de son cadre législatif, bref à l’ensemble des comp</w:t>
      </w:r>
      <w:r w:rsidRPr="00161146">
        <w:t>o</w:t>
      </w:r>
      <w:r w:rsidRPr="00161146">
        <w:t>santes liées à la réorganisation économique. Car il apparaît, avec la mise en marche de cette importante commission, que l’ère de la réo</w:t>
      </w:r>
      <w:r w:rsidRPr="00161146">
        <w:t>r</w:t>
      </w:r>
      <w:r w:rsidRPr="00161146">
        <w:t>ganisation à tâtons, sur le tas et à la pièce, tire à sa fin.</w:t>
      </w:r>
    </w:p>
    <w:p w14:paraId="522A109E" w14:textId="77777777" w:rsidR="002775D9" w:rsidRPr="00161146" w:rsidRDefault="002775D9" w:rsidP="002775D9">
      <w:pPr>
        <w:spacing w:before="120" w:after="120"/>
        <w:jc w:val="both"/>
      </w:pPr>
      <w:r w:rsidRPr="00161146">
        <w:t>Depuis quelque temps, on s’active déjà à Ottawa à l’élaboration d'une stratégie de rechange. La préoccupation centrale concerne les menaces qui planent sur la position du Canada dans le marché mo</w:t>
      </w:r>
      <w:r w:rsidRPr="00161146">
        <w:t>n</w:t>
      </w:r>
      <w:r w:rsidRPr="00161146">
        <w:t>dial. À cet égard, la réflexion semble se développer à partir des préo</w:t>
      </w:r>
      <w:r w:rsidRPr="00161146">
        <w:t>c</w:t>
      </w:r>
      <w:r w:rsidRPr="00161146">
        <w:t>cupations concernant les stratégies commerciales du Canada. Un c</w:t>
      </w:r>
      <w:r w:rsidRPr="00161146">
        <w:t>o</w:t>
      </w:r>
      <w:r w:rsidRPr="00161146">
        <w:t xml:space="preserve">mité spécial de la Chambre des Communes a publié au milieu de 1981 un rapport intitulé </w:t>
      </w:r>
      <w:r w:rsidRPr="00B924E2">
        <w:rPr>
          <w:i/>
          <w:iCs/>
          <w:szCs w:val="28"/>
        </w:rPr>
        <w:t>Le défi commercial du Canada</w:t>
      </w:r>
      <w:r>
        <w:t> </w:t>
      </w:r>
      <w:r>
        <w:rPr>
          <w:rStyle w:val="Appelnotedebasdep"/>
        </w:rPr>
        <w:footnoteReference w:id="23"/>
      </w:r>
      <w:r w:rsidRPr="00B924E2">
        <w:t>.</w:t>
      </w:r>
    </w:p>
    <w:p w14:paraId="32CC6447" w14:textId="77777777" w:rsidR="002775D9" w:rsidRPr="00161146" w:rsidRDefault="002775D9" w:rsidP="002775D9">
      <w:pPr>
        <w:spacing w:before="120" w:after="120"/>
        <w:jc w:val="both"/>
      </w:pPr>
      <w:r w:rsidRPr="00161146">
        <w:t>Partant du constat que la part du Canada dans le commerce intern</w:t>
      </w:r>
      <w:r w:rsidRPr="00161146">
        <w:t>a</w:t>
      </w:r>
      <w:r w:rsidRPr="00161146">
        <w:t>tional a régressé de 4,9% en 1972 à 3,4% en 1979, le comité s’interroge sur les mesures à envisager pour remonter la pente. Il ide</w:t>
      </w:r>
      <w:r w:rsidRPr="00161146">
        <w:t>n</w:t>
      </w:r>
      <w:r w:rsidRPr="00161146">
        <w:t>tifie les crén</w:t>
      </w:r>
      <w:r>
        <w:t>e</w:t>
      </w:r>
      <w:r w:rsidRPr="00161146">
        <w:t>aux industriels à privilégier et soumet diverses reco</w:t>
      </w:r>
      <w:r w:rsidRPr="00161146">
        <w:t>m</w:t>
      </w:r>
      <w:r w:rsidRPr="00161146">
        <w:t>mandations. On préconise notamment d’encourager les sociétés qui exportent déjà à le faire davantage. On suggère aussi d’accroître le nombre de P.M.E. exportatrices. On propose ég</w:t>
      </w:r>
      <w:r w:rsidRPr="00161146">
        <w:t>a</w:t>
      </w:r>
      <w:r w:rsidRPr="00161146">
        <w:t>lement de développer l’exportation de « projets de biens d’équipements », soit dans la cat</w:t>
      </w:r>
      <w:r w:rsidRPr="00161146">
        <w:t>é</w:t>
      </w:r>
      <w:r w:rsidRPr="00161146">
        <w:t>gorie des complexes industriels : raffineries de pétrole, complexe p</w:t>
      </w:r>
      <w:r w:rsidRPr="00161146">
        <w:t>é</w:t>
      </w:r>
      <w:r w:rsidRPr="00161146">
        <w:t>trochimique ou chimique, pâtes et papiers, industries minières, soit dans la catégorie des infrastructures : systèmes de transport, de tél</w:t>
      </w:r>
      <w:r w:rsidRPr="00161146">
        <w:t>é</w:t>
      </w:r>
      <w:r w:rsidRPr="00161146">
        <w:t>co</w:t>
      </w:r>
      <w:r w:rsidRPr="00161146">
        <w:t>m</w:t>
      </w:r>
      <w:r w:rsidRPr="00161146">
        <w:t>munication, centrales électriques, hôpitaux/écoles.</w:t>
      </w:r>
    </w:p>
    <w:p w14:paraId="662FC5CB" w14:textId="77777777" w:rsidR="002775D9" w:rsidRPr="00161146" w:rsidRDefault="002775D9" w:rsidP="002775D9">
      <w:pPr>
        <w:spacing w:before="120" w:after="120"/>
        <w:jc w:val="both"/>
      </w:pPr>
      <w:r w:rsidRPr="00161146">
        <w:t>Surtout, l’analyse du comité met en relief la trop forte d</w:t>
      </w:r>
      <w:r w:rsidRPr="00161146">
        <w:t>é</w:t>
      </w:r>
      <w:r w:rsidRPr="00161146">
        <w:t>pendance du Canada à l’égard du marché américain. Dans la mesure où peu d’efforts sont consacrés à la pénétration des marchés en expansion, tels les pays limi</w:t>
      </w:r>
      <w:r>
        <w:t>trophes du Pacifique, le Moyen-O</w:t>
      </w:r>
      <w:r w:rsidRPr="00161146">
        <w:t>rient et l’Amérique latine, il n’est pas surprenant de constater que la part du Canada dans le commerce mondial r</w:t>
      </w:r>
      <w:r w:rsidRPr="00161146">
        <w:t>é</w:t>
      </w:r>
      <w:r w:rsidRPr="00161146">
        <w:t>gresse. De même, on note qu’un accent trop fort est placé sur les produits dérivés des ressources naturelles et qu’il faut e</w:t>
      </w:r>
      <w:r w:rsidRPr="00161146">
        <w:t>n</w:t>
      </w:r>
      <w:r w:rsidRPr="00161146">
        <w:t xml:space="preserve">courager davantage l’exportation de produits finis. Enfin, la principale recommandation du Comité vise la mise sur pied d’une </w:t>
      </w:r>
      <w:r w:rsidRPr="00E751FA">
        <w:rPr>
          <w:i/>
          <w:iCs/>
          <w:szCs w:val="28"/>
        </w:rPr>
        <w:t>S</w:t>
      </w:r>
      <w:r w:rsidRPr="00E751FA">
        <w:rPr>
          <w:i/>
          <w:iCs/>
          <w:szCs w:val="28"/>
        </w:rPr>
        <w:t>o</w:t>
      </w:r>
      <w:r w:rsidRPr="00E751FA">
        <w:rPr>
          <w:i/>
          <w:iCs/>
          <w:szCs w:val="28"/>
        </w:rPr>
        <w:t>ciété canadienne de commerce</w:t>
      </w:r>
      <w:r w:rsidRPr="00161146">
        <w:t xml:space="preserve"> pour la commercialisation, la négoci</w:t>
      </w:r>
      <w:r w:rsidRPr="00161146">
        <w:t>a</w:t>
      </w:r>
      <w:r w:rsidRPr="00161146">
        <w:t>tion des contrats, la gestion des projets, les rel</w:t>
      </w:r>
      <w:r w:rsidRPr="00161146">
        <w:t>a</w:t>
      </w:r>
      <w:r w:rsidRPr="00161146">
        <w:t>tions entre entreprises et État. Il s’agit en somme de doter le Canada, au niveau de l’État ce</w:t>
      </w:r>
      <w:r w:rsidRPr="00161146">
        <w:t>n</w:t>
      </w:r>
      <w:r w:rsidRPr="00161146">
        <w:t>tral, il va sans dire, d’une pui</w:t>
      </w:r>
      <w:r w:rsidRPr="00161146">
        <w:t>s</w:t>
      </w:r>
      <w:r w:rsidRPr="00161146">
        <w:t xml:space="preserve">sante agence commerciale pour réaliser des affaires d’envergure mondiale et concurrencer efficacement les autres États qui disposent de telles institutions. On envisage à cette fin une formule de société mixte dotée d'une capitalisation </w:t>
      </w:r>
      <w:r>
        <w:t>initiale de 300 millions de dol</w:t>
      </w:r>
      <w:r w:rsidRPr="00161146">
        <w:t>lars,</w:t>
      </w:r>
      <w:r>
        <w:t xml:space="preserve"> [84]</w:t>
      </w:r>
      <w:r w:rsidRPr="00161146">
        <w:t xml:space="preserve"> ce qui serait suffisant pour soutenir un chiffre d’affaires d’environ 2 milliards.</w:t>
      </w:r>
    </w:p>
    <w:p w14:paraId="51C3D9F5" w14:textId="77777777" w:rsidR="002775D9" w:rsidRPr="00161146" w:rsidRDefault="002775D9" w:rsidP="002775D9">
      <w:pPr>
        <w:spacing w:before="120" w:after="120"/>
        <w:jc w:val="both"/>
      </w:pPr>
      <w:r w:rsidRPr="00161146">
        <w:t>Ce rapport semble avoir produit un effet favorable sur le gouve</w:t>
      </w:r>
      <w:r w:rsidRPr="00161146">
        <w:t>r</w:t>
      </w:r>
      <w:r w:rsidRPr="00161146">
        <w:t>nement de l’Ontario. En effet, celui-ci publiait un ra</w:t>
      </w:r>
      <w:r w:rsidRPr="00161146">
        <w:t>p</w:t>
      </w:r>
      <w:r w:rsidRPr="00161146">
        <w:t>port à l’automne 1982 intitulé « Canadian trade Policy for the 1980’s — An Ontario Perspective » ou on reprochait au gouvernement fédéral de ne pas avoir donné suite au rapport pr</w:t>
      </w:r>
      <w:r w:rsidRPr="00161146">
        <w:t>é</w:t>
      </w:r>
      <w:r w:rsidRPr="00161146">
        <w:t>cédent. Comme l’Ontario exporte 34% de son PI.B. et 40% des produits finis canadiens, l’étude réclamait un accent plus fort sur la promotion des produits finis. Le document ont</w:t>
      </w:r>
      <w:r w:rsidRPr="00161146">
        <w:t>a</w:t>
      </w:r>
      <w:r w:rsidRPr="00161146">
        <w:t>rien considère que l’économie canadienne dans l’avenir va tenir</w:t>
      </w:r>
      <w:r>
        <w:t xml:space="preserve"> sur trois pattes : une valeur-</w:t>
      </w:r>
      <w:r w:rsidRPr="00161146">
        <w:t>ajoutée accrue à partir de industries des re</w:t>
      </w:r>
      <w:r w:rsidRPr="00161146">
        <w:t>s</w:t>
      </w:r>
      <w:r w:rsidRPr="00161146">
        <w:t>sources (c’est-à-dire transformation des matières premières), le dév</w:t>
      </w:r>
      <w:r w:rsidRPr="00161146">
        <w:t>e</w:t>
      </w:r>
      <w:r w:rsidRPr="00161146">
        <w:t>loppement d’une expertise et d’une capacité de leadership mondial dans certains crén</w:t>
      </w:r>
      <w:r>
        <w:t>e</w:t>
      </w:r>
      <w:r w:rsidRPr="00161146">
        <w:t>aux des industries de ha</w:t>
      </w:r>
      <w:r w:rsidRPr="00161146">
        <w:t>u</w:t>
      </w:r>
      <w:r w:rsidRPr="00161146">
        <w:t>te technologie, une plus grande portion du commerce mondial de biens et services.</w:t>
      </w:r>
    </w:p>
    <w:p w14:paraId="618D6458" w14:textId="77777777" w:rsidR="002775D9" w:rsidRPr="00161146" w:rsidRDefault="002775D9" w:rsidP="002775D9">
      <w:pPr>
        <w:spacing w:before="120" w:after="120"/>
        <w:jc w:val="both"/>
      </w:pPr>
      <w:r w:rsidRPr="00161146">
        <w:t>Comme stratégie, l’étude recommande ce qui suit :</w:t>
      </w:r>
    </w:p>
    <w:p w14:paraId="084F63BB" w14:textId="77777777" w:rsidR="002775D9" w:rsidRDefault="002775D9" w:rsidP="002775D9">
      <w:pPr>
        <w:spacing w:before="120" w:after="120"/>
        <w:ind w:left="720" w:hanging="360"/>
        <w:jc w:val="both"/>
      </w:pPr>
    </w:p>
    <w:p w14:paraId="68B1B5A7" w14:textId="77777777" w:rsidR="002775D9" w:rsidRPr="00161146" w:rsidRDefault="002775D9" w:rsidP="002775D9">
      <w:pPr>
        <w:spacing w:before="120" w:after="120"/>
        <w:ind w:left="720" w:hanging="360"/>
        <w:jc w:val="both"/>
      </w:pPr>
      <w:r>
        <w:t>-</w:t>
      </w:r>
      <w:r>
        <w:tab/>
      </w:r>
      <w:r w:rsidRPr="00161146">
        <w:t>consacrer les efforts nécessaires à l’expansion plutôt qu’à la contraction du commerce mondial ;</w:t>
      </w:r>
    </w:p>
    <w:p w14:paraId="0492B4C4" w14:textId="77777777" w:rsidR="002775D9" w:rsidRPr="00161146" w:rsidRDefault="002775D9" w:rsidP="002775D9">
      <w:pPr>
        <w:spacing w:before="120" w:after="120"/>
        <w:ind w:left="720" w:hanging="360"/>
        <w:jc w:val="both"/>
      </w:pPr>
      <w:r>
        <w:t>-</w:t>
      </w:r>
      <w:r>
        <w:tab/>
      </w:r>
      <w:r w:rsidRPr="00161146">
        <w:t>exercer des pressions pour obtenir un environnement comme</w:t>
      </w:r>
      <w:r w:rsidRPr="00161146">
        <w:t>r</w:t>
      </w:r>
      <w:r w:rsidRPr="00161146">
        <w:t>cial plus « équitable » et « libre » ;</w:t>
      </w:r>
    </w:p>
    <w:p w14:paraId="0B2D88AA" w14:textId="77777777" w:rsidR="002775D9" w:rsidRPr="00161146" w:rsidRDefault="002775D9" w:rsidP="002775D9">
      <w:pPr>
        <w:spacing w:before="120" w:after="120"/>
        <w:ind w:left="720" w:hanging="360"/>
        <w:jc w:val="both"/>
      </w:pPr>
      <w:r>
        <w:t>-</w:t>
      </w:r>
      <w:r>
        <w:tab/>
      </w:r>
      <w:r w:rsidRPr="00161146">
        <w:t>reconstruire les relations avec les partenaires commerciaux, le</w:t>
      </w:r>
      <w:r w:rsidRPr="00161146">
        <w:t>s</w:t>
      </w:r>
      <w:r w:rsidRPr="00161146">
        <w:t>quelles ont été dégradées par les politiques fédérales telles le PEN et FIRA ;</w:t>
      </w:r>
    </w:p>
    <w:p w14:paraId="6CE0A3D8" w14:textId="77777777" w:rsidR="002775D9" w:rsidRPr="00161146" w:rsidRDefault="002775D9" w:rsidP="002775D9">
      <w:pPr>
        <w:spacing w:before="120" w:after="120"/>
        <w:ind w:left="720" w:hanging="360"/>
        <w:jc w:val="both"/>
      </w:pPr>
      <w:r>
        <w:t>-</w:t>
      </w:r>
      <w:r>
        <w:tab/>
      </w:r>
      <w:r w:rsidRPr="00161146">
        <w:t>d’autres relations commerciales devraient être favorisées et e</w:t>
      </w:r>
      <w:r w:rsidRPr="00161146">
        <w:t>n</w:t>
      </w:r>
      <w:r w:rsidRPr="00161146">
        <w:t>couragées, surtout du côté des marchés dynamiques comme les pays lim</w:t>
      </w:r>
      <w:r w:rsidRPr="00161146">
        <w:t>i</w:t>
      </w:r>
      <w:r w:rsidRPr="00161146">
        <w:t>trophes du Pacifique ;</w:t>
      </w:r>
    </w:p>
    <w:p w14:paraId="00FA7741" w14:textId="77777777" w:rsidR="002775D9" w:rsidRPr="00161146" w:rsidRDefault="002775D9" w:rsidP="002775D9">
      <w:pPr>
        <w:spacing w:before="120" w:after="120"/>
        <w:ind w:left="720" w:hanging="360"/>
        <w:jc w:val="both"/>
      </w:pPr>
      <w:r>
        <w:t>-</w:t>
      </w:r>
      <w:r>
        <w:tab/>
      </w:r>
      <w:r w:rsidRPr="00161146">
        <w:t>le gouvernement fédéral</w:t>
      </w:r>
      <w:r>
        <w:t xml:space="preserve"> </w:t>
      </w:r>
      <w:r w:rsidRPr="00161146">
        <w:t>devrait fournir aux exportateurs le même niveau de services que ceux obtenus par les concu</w:t>
      </w:r>
      <w:r w:rsidRPr="00161146">
        <w:t>r</w:t>
      </w:r>
      <w:r w:rsidRPr="00161146">
        <w:t>rents</w:t>
      </w:r>
      <w:r>
        <w:t> </w:t>
      </w:r>
      <w:r>
        <w:rPr>
          <w:rStyle w:val="Appelnotedebasdep"/>
        </w:rPr>
        <w:footnoteReference w:id="24"/>
      </w:r>
      <w:r w:rsidRPr="003657F1">
        <w:t>.</w:t>
      </w:r>
    </w:p>
    <w:p w14:paraId="23BDADBD" w14:textId="77777777" w:rsidR="002775D9" w:rsidRDefault="002775D9" w:rsidP="002775D9">
      <w:pPr>
        <w:spacing w:before="120" w:after="120"/>
        <w:jc w:val="both"/>
      </w:pPr>
    </w:p>
    <w:p w14:paraId="3EBEFD2F" w14:textId="77777777" w:rsidR="002775D9" w:rsidRPr="00161146" w:rsidRDefault="002775D9" w:rsidP="002775D9">
      <w:pPr>
        <w:spacing w:before="120" w:after="120"/>
        <w:jc w:val="both"/>
      </w:pPr>
      <w:r w:rsidRPr="00161146">
        <w:t>Le fédéral a par ailleurs réaffirmé son intention de stimuler le d</w:t>
      </w:r>
      <w:r w:rsidRPr="00161146">
        <w:t>é</w:t>
      </w:r>
      <w:r w:rsidRPr="00161146">
        <w:t>veloppement d’industries de haute technologie. On appr</w:t>
      </w:r>
      <w:r w:rsidRPr="00161146">
        <w:t>é</w:t>
      </w:r>
      <w:r w:rsidRPr="00161146">
        <w:t>hende de ce côté des développements si fulgurants q</w:t>
      </w:r>
      <w:r>
        <w:t>u</w:t>
      </w:r>
      <w:r w:rsidRPr="00161146">
        <w:t>’on craint que l’industrie c</w:t>
      </w:r>
      <w:r w:rsidRPr="00161146">
        <w:t>a</w:t>
      </w:r>
      <w:r w:rsidRPr="00161146">
        <w:t>nadienne ne s’en trouve complètement marg</w:t>
      </w:r>
      <w:r w:rsidRPr="00161146">
        <w:t>i</w:t>
      </w:r>
      <w:r w:rsidRPr="00161146">
        <w:t>nalisée. Un groupe de travail (tripartite) sur la productivité vient d’être mis sur pied et des centres de productivité ont commencé à être mis en place. Pour piloter ce dossier, le gouvernement Trudeau a confié le portefeuille de la science et de la technologie à Donald Johnston anciennement ministre « sénior » au développement économique régional. Quelques jours après le dépôt du budget de mai 1983, ce dernier dévoilait quelques-uns des axes en fonction desquels seront dépensés les 700 millions de dollars réservés aux programmes liés au développement technolog</w:t>
      </w:r>
      <w:r w:rsidRPr="00161146">
        <w:t>i</w:t>
      </w:r>
      <w:r w:rsidRPr="00161146">
        <w:t>que. Il fut notamment question de coord</w:t>
      </w:r>
      <w:r w:rsidRPr="00161146">
        <w:t>i</w:t>
      </w:r>
      <w:r w:rsidRPr="00161146">
        <w:t>nation économique, fiscale et industrielle de diverses politiques gouvernementales, de formation de la main-d’oeuvre, d’aide aux syndicats en vue d’appuyer les méc</w:t>
      </w:r>
      <w:r w:rsidRPr="00161146">
        <w:t>a</w:t>
      </w:r>
      <w:r w:rsidRPr="00161146">
        <w:t>nismes de gestion de la main-d’oeuvre, de recherche et de dévelo</w:t>
      </w:r>
      <w:r w:rsidRPr="00161146">
        <w:t>p</w:t>
      </w:r>
      <w:r w:rsidRPr="00161146">
        <w:t>pement de nouve</w:t>
      </w:r>
      <w:r w:rsidRPr="00161146">
        <w:t>l</w:t>
      </w:r>
      <w:r w:rsidRPr="00161146">
        <w:t>les branches industrielles surtout dans le domaine de la micro-électronique et de ses applications connexes.</w:t>
      </w:r>
    </w:p>
    <w:p w14:paraId="4003CB07" w14:textId="77777777" w:rsidR="002775D9" w:rsidRPr="00161146" w:rsidRDefault="002775D9" w:rsidP="002775D9">
      <w:pPr>
        <w:spacing w:before="120" w:after="120"/>
        <w:jc w:val="both"/>
      </w:pPr>
      <w:r w:rsidRPr="00161146">
        <w:t>Ottawa envisage enfin un sérieux remodelage des espaces écon</w:t>
      </w:r>
      <w:r w:rsidRPr="00161146">
        <w:t>o</w:t>
      </w:r>
      <w:r w:rsidRPr="00161146">
        <w:t>miques régionaux. En fait, le nouveau MEIR est à préparer — en consultation avec les provinces — des plans de développement régi</w:t>
      </w:r>
      <w:r w:rsidRPr="00161146">
        <w:t>o</w:t>
      </w:r>
      <w:r w:rsidRPr="00161146">
        <w:t>naux. En fonction d’une vision « nationale » de la spécialisation inte</w:t>
      </w:r>
      <w:r w:rsidRPr="00161146">
        <w:t>r</w:t>
      </w:r>
      <w:r w:rsidRPr="00161146">
        <w:t>nati</w:t>
      </w:r>
      <w:r w:rsidRPr="00161146">
        <w:t>o</w:t>
      </w:r>
      <w:r w:rsidRPr="00161146">
        <w:t>nale du Canada, le gouvernement central</w:t>
      </w:r>
      <w:r>
        <w:t xml:space="preserve"> [85] </w:t>
      </w:r>
      <w:r w:rsidRPr="00161146">
        <w:t>cherche à identifier des crén</w:t>
      </w:r>
      <w:r>
        <w:t>e</w:t>
      </w:r>
      <w:r w:rsidRPr="00161146">
        <w:t>aux susceptibles de structurer l’économie de chacune des régions canadiennes. De plus en plus de ministres et fonctionnaires rêvent d’une nouvelle division de la production nati</w:t>
      </w:r>
      <w:r w:rsidRPr="00161146">
        <w:t>o</w:t>
      </w:r>
      <w:r w:rsidRPr="00161146">
        <w:t>nale acquise à leurs préoccupations et assujettie à leurs objectifs</w:t>
      </w:r>
      <w:r>
        <w:t> </w:t>
      </w:r>
      <w:r>
        <w:rPr>
          <w:rStyle w:val="Appelnotedebasdep"/>
        </w:rPr>
        <w:footnoteReference w:id="25"/>
      </w:r>
      <w:r w:rsidRPr="00194049">
        <w:t>.</w:t>
      </w:r>
    </w:p>
    <w:p w14:paraId="6C90B0B2" w14:textId="77777777" w:rsidR="002775D9" w:rsidRPr="00161146" w:rsidRDefault="002775D9" w:rsidP="002775D9">
      <w:pPr>
        <w:spacing w:before="120" w:after="120"/>
        <w:jc w:val="both"/>
      </w:pPr>
      <w:r w:rsidRPr="00161146">
        <w:t>Ottawa semble donc vouloir refaire complètement sa stratégie de développement économique et ainsi emboîter le pas au gouvernement québécois. Rappelons que ce dernier s’est doté depu</w:t>
      </w:r>
      <w:r>
        <w:t>i</w:t>
      </w:r>
      <w:r w:rsidRPr="00161146">
        <w:t>s 1978 d’énoncés de politique (Bâtir le Québec 1 et 2, Nourrir le Québec, l’Épargne) qui ont inspiré ses interventions économiques depuis lors en fonction des caractéristiques de l’économie québécoise.</w:t>
      </w:r>
    </w:p>
    <w:p w14:paraId="05D77EC0" w14:textId="77777777" w:rsidR="002775D9" w:rsidRPr="00161146" w:rsidRDefault="002775D9" w:rsidP="002775D9">
      <w:pPr>
        <w:spacing w:before="120" w:after="120"/>
        <w:jc w:val="both"/>
      </w:pPr>
      <w:r w:rsidRPr="00161146">
        <w:t>Pour l’instant il est difficile de présumer de l’issue de ce processus de refonte économique. Elle dépend des rapports de forces qui vont s’établir entre l’État et les compagnies privées, entre le fédéral et les provinces, entre les syndicats et les « boss ». Ces rapports de forces relèvent toutefois de la configuration des assises politiques et écon</w:t>
      </w:r>
      <w:r w:rsidRPr="00161146">
        <w:t>o</w:t>
      </w:r>
      <w:r w:rsidRPr="00161146">
        <w:t>miques que chacun des « intervenants » dans le dossier parvient à se donner. Jouissant de l’initiative depuis déjà</w:t>
      </w:r>
      <w:r>
        <w:t xml:space="preserve"> </w:t>
      </w:r>
      <w:r w:rsidRPr="00161146">
        <w:t>un bon moment, et forçant ses éventuels détracteurs à se s</w:t>
      </w:r>
      <w:r w:rsidRPr="00161146">
        <w:t>i</w:t>
      </w:r>
      <w:r w:rsidRPr="00161146">
        <w:t>tuer sur son terrain, le fédéral part avec une longueur d’avance. Sur la base des travaux de la Commission MacDonald, les négociations constitutio</w:t>
      </w:r>
      <w:r w:rsidRPr="00161146">
        <w:t>n</w:t>
      </w:r>
      <w:r w:rsidRPr="00161146">
        <w:t>nelles en vue d’un nouveau partage des pouvoirs seront vraisembl</w:t>
      </w:r>
      <w:r w:rsidRPr="00161146">
        <w:t>a</w:t>
      </w:r>
      <w:r w:rsidRPr="00161146">
        <w:t>blement relancées d’ici un ou deux ans en même temps qu’un train de mesures pour modifier les orientations économiques canadiennes. O</w:t>
      </w:r>
      <w:r w:rsidRPr="00161146">
        <w:t>u</w:t>
      </w:r>
      <w:r w:rsidRPr="00161146">
        <w:t>tillé comme il ne l’a jamais été depuis l’élection qui a porté Pierre Trudeau au pouvoir, le gouve</w:t>
      </w:r>
      <w:r w:rsidRPr="00161146">
        <w:t>r</w:t>
      </w:r>
      <w:r w:rsidRPr="00161146">
        <w:t>nement central sera de toute évidence le meneur du jeu, à moins que d’ici là de solides coalitions fondées sur des assises sociales larges se construisent en vue précisément de rési</w:t>
      </w:r>
      <w:r w:rsidRPr="00161146">
        <w:t>s</w:t>
      </w:r>
      <w:r w:rsidRPr="00161146">
        <w:t>ter à l’assaut.</w:t>
      </w:r>
    </w:p>
    <w:p w14:paraId="37263663" w14:textId="77777777" w:rsidR="002775D9" w:rsidRDefault="002775D9" w:rsidP="002775D9">
      <w:pPr>
        <w:spacing w:before="120" w:after="120"/>
        <w:jc w:val="both"/>
      </w:pPr>
      <w:r>
        <w:t>Sur le front inter</w:t>
      </w:r>
      <w:r w:rsidRPr="00161146">
        <w:t>provincial, la confiance a été minée par les déso</w:t>
      </w:r>
      <w:r w:rsidRPr="00161146">
        <w:t>r</w:t>
      </w:r>
      <w:r w:rsidRPr="00161146">
        <w:t>mais célèbres tractations autant nocturnes qu’anglophones qui ont rendu possible le rapatriement de l’AANB. Cela n’exclut pas la poss</w:t>
      </w:r>
      <w:r w:rsidRPr="00161146">
        <w:t>i</w:t>
      </w:r>
      <w:r w:rsidRPr="00161146">
        <w:t>bilité d'un nouveau front en vue de préserver les pouvoirs économ</w:t>
      </w:r>
      <w:r w:rsidRPr="00161146">
        <w:t>i</w:t>
      </w:r>
      <w:r w:rsidRPr="00161146">
        <w:t>ques des provinces, mais jette une lumière plus réaliste sur les l</w:t>
      </w:r>
      <w:r w:rsidRPr="00161146">
        <w:t>i</w:t>
      </w:r>
      <w:r w:rsidRPr="00161146">
        <w:t>mites de ce type d’alliance.</w:t>
      </w:r>
    </w:p>
    <w:p w14:paraId="50013500" w14:textId="77777777" w:rsidR="002775D9" w:rsidRDefault="002775D9" w:rsidP="002775D9">
      <w:pPr>
        <w:spacing w:before="120" w:after="120"/>
        <w:jc w:val="both"/>
      </w:pPr>
    </w:p>
    <w:p w14:paraId="595B3450" w14:textId="77777777" w:rsidR="002775D9" w:rsidRDefault="002775D9" w:rsidP="002775D9">
      <w:pPr>
        <w:jc w:val="both"/>
      </w:pPr>
      <w:r w:rsidRPr="003F76B5">
        <w:rPr>
          <w:b/>
          <w:color w:val="FF0000"/>
        </w:rPr>
        <w:t>NOTES</w:t>
      </w:r>
    </w:p>
    <w:p w14:paraId="1AF2CFCF" w14:textId="77777777" w:rsidR="002775D9" w:rsidRDefault="002775D9" w:rsidP="002775D9">
      <w:pPr>
        <w:jc w:val="both"/>
      </w:pPr>
    </w:p>
    <w:p w14:paraId="701AFD81" w14:textId="77777777" w:rsidR="002775D9" w:rsidRPr="00E07116" w:rsidRDefault="002775D9" w:rsidP="002775D9">
      <w:pPr>
        <w:jc w:val="both"/>
      </w:pPr>
      <w:r>
        <w:t>Pour faciliter la consultation des notes en fin de textes, nous les avons toutes converties, dans cette édition numérique des Classiques des sciences sociales, en notes de bas de page. JMT.</w:t>
      </w:r>
    </w:p>
    <w:p w14:paraId="567C3EBD" w14:textId="77777777" w:rsidR="002775D9" w:rsidRDefault="002775D9" w:rsidP="002775D9">
      <w:pPr>
        <w:spacing w:before="120" w:after="120"/>
        <w:ind w:firstLine="0"/>
        <w:jc w:val="both"/>
      </w:pPr>
    </w:p>
    <w:p w14:paraId="777FC2AE" w14:textId="77777777" w:rsidR="002775D9" w:rsidRDefault="002775D9" w:rsidP="002775D9">
      <w:pPr>
        <w:spacing w:before="120" w:after="120"/>
        <w:ind w:firstLine="0"/>
        <w:jc w:val="both"/>
      </w:pPr>
      <w:r>
        <w:t>[86]</w:t>
      </w:r>
    </w:p>
    <w:p w14:paraId="7B5C8E3C" w14:textId="77777777" w:rsidR="002775D9" w:rsidRDefault="002775D9" w:rsidP="002775D9">
      <w:pPr>
        <w:pStyle w:val="p"/>
      </w:pPr>
    </w:p>
    <w:sectPr w:rsidR="002775D9" w:rsidSect="002775D9">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33B08" w14:textId="77777777" w:rsidR="00851F65" w:rsidRDefault="00851F65">
      <w:r>
        <w:separator/>
      </w:r>
    </w:p>
  </w:endnote>
  <w:endnote w:type="continuationSeparator" w:id="0">
    <w:p w14:paraId="1D68BFC9" w14:textId="77777777" w:rsidR="00851F65" w:rsidRDefault="0085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A8C6C" w14:textId="77777777" w:rsidR="00851F65" w:rsidRDefault="00851F65">
      <w:pPr>
        <w:ind w:firstLine="0"/>
      </w:pPr>
      <w:r>
        <w:separator/>
      </w:r>
    </w:p>
  </w:footnote>
  <w:footnote w:type="continuationSeparator" w:id="0">
    <w:p w14:paraId="57E97A0A" w14:textId="77777777" w:rsidR="00851F65" w:rsidRDefault="00851F65">
      <w:pPr>
        <w:ind w:firstLine="0"/>
      </w:pPr>
      <w:r>
        <w:separator/>
      </w:r>
    </w:p>
  </w:footnote>
  <w:footnote w:id="1">
    <w:p w14:paraId="0C55E9FA" w14:textId="77777777" w:rsidR="002775D9" w:rsidRDefault="002775D9" w:rsidP="002775D9">
      <w:pPr>
        <w:pStyle w:val="Notedebasdepage"/>
      </w:pPr>
      <w:r>
        <w:rPr>
          <w:rStyle w:val="Appelnotedebasdep"/>
        </w:rPr>
        <w:t>*</w:t>
      </w:r>
      <w:r>
        <w:t xml:space="preserve"> </w:t>
      </w:r>
      <w:r>
        <w:tab/>
      </w:r>
      <w:r w:rsidRPr="00BF46BD">
        <w:t>Cet article est une version remaniée d’un document de travail produit en 1980 pour le Comité question nationale du Centre de fo</w:t>
      </w:r>
      <w:r w:rsidRPr="00BF46BD">
        <w:t>r</w:t>
      </w:r>
      <w:r w:rsidRPr="00BF46BD">
        <w:t>mation populaire.</w:t>
      </w:r>
    </w:p>
  </w:footnote>
  <w:footnote w:id="2">
    <w:p w14:paraId="56FDE433" w14:textId="77777777" w:rsidR="002775D9" w:rsidRDefault="002775D9" w:rsidP="002775D9">
      <w:pPr>
        <w:pStyle w:val="Notedebasdepage"/>
      </w:pPr>
      <w:r>
        <w:rPr>
          <w:rStyle w:val="Appelnotedebasdep"/>
        </w:rPr>
        <w:footnoteRef/>
      </w:r>
      <w:r>
        <w:tab/>
      </w:r>
      <w:r w:rsidRPr="00161146">
        <w:t xml:space="preserve">US Executive Office of the President. </w:t>
      </w:r>
      <w:r w:rsidRPr="00EC0CA5">
        <w:rPr>
          <w:i/>
          <w:iCs/>
        </w:rPr>
        <w:t>International Economie Report of the President</w:t>
      </w:r>
      <w:r w:rsidRPr="00161146">
        <w:t>, 1977, Washington, U.S. Gover</w:t>
      </w:r>
      <w:r w:rsidRPr="00161146">
        <w:t>n</w:t>
      </w:r>
      <w:r w:rsidRPr="00161146">
        <w:t>ment Printing Office, p. 85.</w:t>
      </w:r>
    </w:p>
  </w:footnote>
  <w:footnote w:id="3">
    <w:p w14:paraId="65286433" w14:textId="77777777" w:rsidR="002775D9" w:rsidRDefault="002775D9" w:rsidP="002775D9">
      <w:pPr>
        <w:pStyle w:val="Notedebasdepage"/>
      </w:pPr>
      <w:r>
        <w:rPr>
          <w:rStyle w:val="Appelnotedebasdep"/>
        </w:rPr>
        <w:footnoteRef/>
      </w:r>
      <w:r>
        <w:tab/>
      </w:r>
      <w:r w:rsidRPr="00161146">
        <w:t xml:space="preserve">U.S. Dept. of Commerce, </w:t>
      </w:r>
      <w:r>
        <w:rPr>
          <w:i/>
          <w:iCs/>
        </w:rPr>
        <w:t>Survey of Cur</w:t>
      </w:r>
      <w:r w:rsidRPr="00EC0CA5">
        <w:rPr>
          <w:i/>
          <w:iCs/>
        </w:rPr>
        <w:t>rent Business,</w:t>
      </w:r>
      <w:r w:rsidRPr="00161146">
        <w:t xml:space="preserve"> 1976 et 1980.</w:t>
      </w:r>
    </w:p>
  </w:footnote>
  <w:footnote w:id="4">
    <w:p w14:paraId="5998D30A" w14:textId="77777777" w:rsidR="002775D9" w:rsidRDefault="002775D9" w:rsidP="002775D9">
      <w:pPr>
        <w:pStyle w:val="Notedebasdepage"/>
      </w:pPr>
      <w:r>
        <w:rPr>
          <w:rStyle w:val="Appelnotedebasdep"/>
        </w:rPr>
        <w:footnoteRef/>
      </w:r>
      <w:r>
        <w:tab/>
      </w:r>
      <w:r w:rsidRPr="00161146">
        <w:t xml:space="preserve">Jorge Niosi illustre fort bien ce processus dans </w:t>
      </w:r>
      <w:r w:rsidRPr="00EC0CA5">
        <w:rPr>
          <w:i/>
          <w:iCs/>
        </w:rPr>
        <w:t>La Bourgeoisie canadienne</w:t>
      </w:r>
      <w:r w:rsidRPr="00161146">
        <w:t xml:space="preserve">, Montréal, Boréal Express, 1980, et plus récemment dans </w:t>
      </w:r>
      <w:r w:rsidRPr="00EC0CA5">
        <w:rPr>
          <w:i/>
          <w:iCs/>
        </w:rPr>
        <w:t>Les Multination</w:t>
      </w:r>
      <w:r w:rsidRPr="00EC0CA5">
        <w:rPr>
          <w:i/>
          <w:iCs/>
        </w:rPr>
        <w:t>a</w:t>
      </w:r>
      <w:r w:rsidRPr="00EC0CA5">
        <w:rPr>
          <w:i/>
          <w:iCs/>
        </w:rPr>
        <w:t>les canadiennes,</w:t>
      </w:r>
      <w:r w:rsidRPr="00161146">
        <w:t xml:space="preserve"> Montréal, Boréal Express, 1982.</w:t>
      </w:r>
    </w:p>
  </w:footnote>
  <w:footnote w:id="5">
    <w:p w14:paraId="56E510A8" w14:textId="77777777" w:rsidR="002775D9" w:rsidRDefault="002775D9" w:rsidP="002775D9">
      <w:pPr>
        <w:pStyle w:val="Notedebasdepage"/>
      </w:pPr>
      <w:r>
        <w:rPr>
          <w:rStyle w:val="Appelnotedebasdep"/>
        </w:rPr>
        <w:footnoteRef/>
      </w:r>
      <w:r>
        <w:tab/>
      </w:r>
      <w:r w:rsidRPr="00161146">
        <w:t>La quasi tot</w:t>
      </w:r>
      <w:r>
        <w:t>alité des actifs bancaires cana</w:t>
      </w:r>
      <w:r w:rsidRPr="00161146">
        <w:t>diens sont entre les mains de six in</w:t>
      </w:r>
      <w:r w:rsidRPr="00161146">
        <w:t>s</w:t>
      </w:r>
      <w:r w:rsidRPr="00161146">
        <w:t>titutions ba</w:t>
      </w:r>
      <w:r w:rsidRPr="00161146">
        <w:t>n</w:t>
      </w:r>
      <w:r w:rsidRPr="00161146">
        <w:t>caires. Le circuit bancaire canadien figure d'ailleurs parmi les plus concentrés au mo</w:t>
      </w:r>
      <w:r w:rsidRPr="00161146">
        <w:t>n</w:t>
      </w:r>
      <w:r w:rsidRPr="00161146">
        <w:t>de.</w:t>
      </w:r>
    </w:p>
  </w:footnote>
  <w:footnote w:id="6">
    <w:p w14:paraId="2CBCD7B2" w14:textId="77777777" w:rsidR="002775D9" w:rsidRDefault="002775D9" w:rsidP="002775D9">
      <w:pPr>
        <w:pStyle w:val="Notedebasdepage"/>
      </w:pPr>
      <w:r>
        <w:rPr>
          <w:rStyle w:val="Appelnotedebasdep"/>
        </w:rPr>
        <w:footnoteRef/>
      </w:r>
      <w:r>
        <w:tab/>
      </w:r>
      <w:r w:rsidRPr="00161146">
        <w:t>Telidon est un programme d’informatisation de l’information couplé à la tél</w:t>
      </w:r>
      <w:r w:rsidRPr="00161146">
        <w:t>é</w:t>
      </w:r>
      <w:r w:rsidRPr="00161146">
        <w:t>vision (télématique) mis au point conjointement par l’</w:t>
      </w:r>
      <w:r>
        <w:t>État</w:t>
      </w:r>
      <w:r w:rsidRPr="00161146">
        <w:t xml:space="preserve"> fédéral et pl</w:t>
      </w:r>
      <w:r w:rsidRPr="00161146">
        <w:t>u</w:t>
      </w:r>
      <w:r w:rsidRPr="00161146">
        <w:t>sieurs entreprises privées. Actue</w:t>
      </w:r>
      <w:r w:rsidRPr="00161146">
        <w:t>l</w:t>
      </w:r>
      <w:r w:rsidRPr="00161146">
        <w:t>lement à l'essai, Telidon compte parmi les projets de télématique les plus susceptibles de s’imposer à l’échelle mondi</w:t>
      </w:r>
      <w:r w:rsidRPr="00161146">
        <w:t>a</w:t>
      </w:r>
      <w:r w:rsidRPr="00161146">
        <w:t>le.</w:t>
      </w:r>
    </w:p>
  </w:footnote>
  <w:footnote w:id="7">
    <w:p w14:paraId="63AB9942" w14:textId="77777777" w:rsidR="002775D9" w:rsidRDefault="002775D9" w:rsidP="002775D9">
      <w:pPr>
        <w:pStyle w:val="Notedebasdepage"/>
      </w:pPr>
      <w:r>
        <w:rPr>
          <w:rStyle w:val="Appelnotedebasdep"/>
        </w:rPr>
        <w:footnoteRef/>
      </w:r>
      <w:r>
        <w:tab/>
      </w:r>
      <w:r w:rsidRPr="00161146">
        <w:t>En 1982, les entreprises canadiennes devaient supporter une de</w:t>
      </w:r>
      <w:r w:rsidRPr="00161146">
        <w:t>t</w:t>
      </w:r>
      <w:r w:rsidRPr="00161146">
        <w:t>te trois fois supérieure en moyenne à celle des entreprises américa</w:t>
      </w:r>
      <w:r w:rsidRPr="00161146">
        <w:t>i</w:t>
      </w:r>
      <w:r w:rsidRPr="00161146">
        <w:t>nes.</w:t>
      </w:r>
    </w:p>
  </w:footnote>
  <w:footnote w:id="8">
    <w:p w14:paraId="492371C3" w14:textId="77777777" w:rsidR="002775D9" w:rsidRDefault="002775D9" w:rsidP="002775D9">
      <w:pPr>
        <w:pStyle w:val="Notedebasdepage"/>
      </w:pPr>
      <w:r>
        <w:rPr>
          <w:rStyle w:val="Appelnotedebasdep"/>
        </w:rPr>
        <w:footnoteRef/>
      </w:r>
      <w:r>
        <w:tab/>
      </w:r>
      <w:r w:rsidRPr="00161146">
        <w:t>On désigne par ce terme la tendance à la constitution de vastes marchés cont</w:t>
      </w:r>
      <w:r w:rsidRPr="00161146">
        <w:t>i</w:t>
      </w:r>
      <w:r w:rsidRPr="00161146">
        <w:t>nentaux (Amérique du Nord, Europe) de plus en plus homogènes. Ici, l’espace économique can</w:t>
      </w:r>
      <w:r w:rsidRPr="00161146">
        <w:t>a</w:t>
      </w:r>
      <w:r w:rsidRPr="00161146">
        <w:t>dien tend à se fondre dans le grand tout nord-américain ce qui modifie substantiellement la dynamique des capitaux can</w:t>
      </w:r>
      <w:r w:rsidRPr="00161146">
        <w:t>a</w:t>
      </w:r>
      <w:r w:rsidRPr="00161146">
        <w:t>diens. Voir les thèses de Wallace Clément.</w:t>
      </w:r>
    </w:p>
  </w:footnote>
  <w:footnote w:id="9">
    <w:p w14:paraId="6FD0182F" w14:textId="77777777" w:rsidR="002775D9" w:rsidRDefault="002775D9" w:rsidP="002775D9">
      <w:pPr>
        <w:pStyle w:val="Notedebasdepage"/>
      </w:pPr>
      <w:r>
        <w:rPr>
          <w:rStyle w:val="Appelnotedebasdep"/>
        </w:rPr>
        <w:footnoteRef/>
      </w:r>
      <w:r>
        <w:tab/>
      </w:r>
      <w:r w:rsidRPr="00161146">
        <w:t>Pour une description plus détaillée du phénomène, voir C. Deblock, « La pr</w:t>
      </w:r>
      <w:r w:rsidRPr="00161146">
        <w:t>é</w:t>
      </w:r>
      <w:r w:rsidRPr="00161146">
        <w:t xml:space="preserve">sence des sociétés canadiennes dans le tiers-monde », </w:t>
      </w:r>
      <w:r w:rsidRPr="00EC0CA5">
        <w:rPr>
          <w:i/>
        </w:rPr>
        <w:t>Interventions économ</w:t>
      </w:r>
      <w:r w:rsidRPr="00EC0CA5">
        <w:rPr>
          <w:i/>
        </w:rPr>
        <w:t>i</w:t>
      </w:r>
      <w:r w:rsidRPr="00EC0CA5">
        <w:rPr>
          <w:i/>
        </w:rPr>
        <w:t>ques</w:t>
      </w:r>
      <w:r w:rsidRPr="00161146">
        <w:t>, n°</w:t>
      </w:r>
      <w:r>
        <w:t> </w:t>
      </w:r>
      <w:r w:rsidRPr="00161146">
        <w:t>10, printemps 1983.</w:t>
      </w:r>
    </w:p>
  </w:footnote>
  <w:footnote w:id="10">
    <w:p w14:paraId="1D3CB4D1" w14:textId="77777777" w:rsidR="002775D9" w:rsidRDefault="002775D9" w:rsidP="002775D9">
      <w:pPr>
        <w:pStyle w:val="Notedebasdepage"/>
      </w:pPr>
      <w:r>
        <w:rPr>
          <w:rStyle w:val="Appelnotedebasdep"/>
        </w:rPr>
        <w:footnoteRef/>
      </w:r>
      <w:r>
        <w:tab/>
      </w:r>
      <w:r w:rsidRPr="00161146">
        <w:t>Rappelons qu’il existe au Canada depuis plusieurs années une Agence d’examen des investissements étrangers qu’a réa</w:t>
      </w:r>
      <w:r w:rsidRPr="00161146">
        <w:t>c</w:t>
      </w:r>
      <w:r w:rsidRPr="00161146">
        <w:t>tivé Herb Gray. Aux USA, quelques échecs récents illustrent une résistance de type nationaliste aux ve</w:t>
      </w:r>
      <w:r w:rsidRPr="00161146">
        <w:t>l</w:t>
      </w:r>
      <w:r w:rsidRPr="00161146">
        <w:t>léités d’expansion des capitaux canadiens. Il s’agit de la tentative d’achat manquée du Canadien Pacifique sur Hobart Corp. et de la retentissante d</w:t>
      </w:r>
      <w:r w:rsidRPr="00161146">
        <w:t>é</w:t>
      </w:r>
      <w:r w:rsidRPr="00161146">
        <w:t>faite des frères Bronfman (Seagram) dans leur tentative d’acquisition de St-Joe M</w:t>
      </w:r>
      <w:r w:rsidRPr="00161146">
        <w:t>i</w:t>
      </w:r>
      <w:r w:rsidRPr="00161146">
        <w:t>nerais et De Conoco. Au sommet des chefs d’État à Montebello, en 1981, Reagan a demandé l’arrêt des prises de contrôle de firmes américaines par les entreprises canadie</w:t>
      </w:r>
      <w:r w:rsidRPr="00161146">
        <w:t>n</w:t>
      </w:r>
      <w:r w:rsidRPr="00161146">
        <w:t>nes.</w:t>
      </w:r>
    </w:p>
  </w:footnote>
  <w:footnote w:id="11">
    <w:p w14:paraId="3CF18593" w14:textId="77777777" w:rsidR="002775D9" w:rsidRDefault="002775D9" w:rsidP="002775D9">
      <w:pPr>
        <w:pStyle w:val="Notedebasdepage"/>
      </w:pPr>
      <w:r>
        <w:rPr>
          <w:rStyle w:val="Appelnotedebasdep"/>
        </w:rPr>
        <w:footnoteRef/>
      </w:r>
      <w:r>
        <w:tab/>
      </w:r>
      <w:r w:rsidRPr="00161146">
        <w:t xml:space="preserve">C. Deblock, </w:t>
      </w:r>
      <w:r w:rsidRPr="00EC0CA5">
        <w:rPr>
          <w:i/>
        </w:rPr>
        <w:t>op. cit</w:t>
      </w:r>
      <w:r w:rsidRPr="00161146">
        <w:t>.</w:t>
      </w:r>
    </w:p>
  </w:footnote>
  <w:footnote w:id="12">
    <w:p w14:paraId="189E3577" w14:textId="77777777" w:rsidR="002775D9" w:rsidRDefault="002775D9" w:rsidP="002775D9">
      <w:pPr>
        <w:pStyle w:val="Notedebasdepage"/>
      </w:pPr>
      <w:r>
        <w:rPr>
          <w:rStyle w:val="Appelnotedebasdep"/>
        </w:rPr>
        <w:footnoteRef/>
      </w:r>
      <w:r>
        <w:tab/>
      </w:r>
      <w:r w:rsidRPr="00161146">
        <w:t>Le Mexique se sert depuis plusieurs années de ce stratagème pour attirer chez lui les indu</w:t>
      </w:r>
      <w:r w:rsidRPr="00161146">
        <w:t>s</w:t>
      </w:r>
      <w:r w:rsidRPr="00161146">
        <w:t>tries américaines.</w:t>
      </w:r>
    </w:p>
  </w:footnote>
  <w:footnote w:id="13">
    <w:p w14:paraId="0875E0A3" w14:textId="77777777" w:rsidR="002775D9" w:rsidRDefault="002775D9" w:rsidP="002775D9">
      <w:pPr>
        <w:pStyle w:val="Notedebasdepage"/>
      </w:pPr>
      <w:r>
        <w:rPr>
          <w:rStyle w:val="Appelnotedebasdep"/>
        </w:rPr>
        <w:footnoteRef/>
      </w:r>
      <w:r>
        <w:tab/>
      </w:r>
      <w:r w:rsidRPr="00161146">
        <w:t>Plusieurs firmes canadiennes ont tenté de percer dans la micro-électronique dont les multiples applications révolutionnent actuellement l’industrie. No</w:t>
      </w:r>
      <w:r w:rsidRPr="00161146">
        <w:t>r</w:t>
      </w:r>
      <w:r w:rsidRPr="00161146">
        <w:t>thern Telecom (anciennement Northern Electric) s’attaque vers 1976 au ma</w:t>
      </w:r>
      <w:r w:rsidRPr="00161146">
        <w:t>r</w:t>
      </w:r>
      <w:r w:rsidRPr="00161146">
        <w:t>ché américain avec ses microsystèmes et a</w:t>
      </w:r>
      <w:r w:rsidRPr="00161146">
        <w:t>c</w:t>
      </w:r>
      <w:r w:rsidRPr="00161146">
        <w:t>quiert à cette fin, en 1978, Syscor Inc. et Data Corp. En 1979, l’entreprise compte 22 usines aux USA. L’expérience s</w:t>
      </w:r>
      <w:r>
        <w:t>e soldera en 80-81 par un retent</w:t>
      </w:r>
      <w:r w:rsidRPr="00161146">
        <w:t>issant échec financier, le géant canadien n’ayant pas réussi à compétitionner les monopoles amér</w:t>
      </w:r>
      <w:r w:rsidRPr="00161146">
        <w:t>i</w:t>
      </w:r>
      <w:r w:rsidRPr="00161146">
        <w:t>cains. Mais d'autres tentat</w:t>
      </w:r>
      <w:r w:rsidRPr="00161146">
        <w:t>i</w:t>
      </w:r>
      <w:r w:rsidRPr="00161146">
        <w:t>ves ont eu plus de succès. Ainsi en est-il du projet Télidon. D’autres réussit</w:t>
      </w:r>
      <w:r>
        <w:t>es dont celles de Micom ou CAE-</w:t>
      </w:r>
      <w:r w:rsidRPr="00161146">
        <w:t>Electronics illustrent égal</w:t>
      </w:r>
      <w:r w:rsidRPr="00161146">
        <w:t>e</w:t>
      </w:r>
      <w:r w:rsidRPr="00161146">
        <w:t>ment fort bien les tentatives de percées can</w:t>
      </w:r>
      <w:r w:rsidRPr="00161146">
        <w:t>a</w:t>
      </w:r>
      <w:r w:rsidRPr="00161146">
        <w:t>diennes dans</w:t>
      </w:r>
      <w:r>
        <w:t xml:space="preserve"> </w:t>
      </w:r>
      <w:r w:rsidRPr="00161146">
        <w:t>ce champ de la micro-électronique où règnent Américains, Japonais, All</w:t>
      </w:r>
      <w:r w:rsidRPr="00161146">
        <w:t>e</w:t>
      </w:r>
      <w:r w:rsidRPr="00161146">
        <w:t>mands et Français.</w:t>
      </w:r>
    </w:p>
  </w:footnote>
  <w:footnote w:id="14">
    <w:p w14:paraId="2D378EDA" w14:textId="77777777" w:rsidR="002775D9" w:rsidRDefault="002775D9" w:rsidP="002775D9">
      <w:pPr>
        <w:pStyle w:val="Notedebasdepage"/>
      </w:pPr>
      <w:r>
        <w:rPr>
          <w:rStyle w:val="Appelnotedebasdep"/>
        </w:rPr>
        <w:footnoteRef/>
      </w:r>
      <w:r>
        <w:tab/>
      </w:r>
      <w:r w:rsidRPr="00161146">
        <w:t>Voir C. Deblock, « De la lutte contre l’inflation à la nouvelle stratégie de d</w:t>
      </w:r>
      <w:r w:rsidRPr="00161146">
        <w:t>é</w:t>
      </w:r>
      <w:r w:rsidRPr="00161146">
        <w:t xml:space="preserve">veloppement », dans le présent numéro. Voir également François Houle, « Stratégie économique et restructuration de l’État au Canada », dans </w:t>
      </w:r>
      <w:r w:rsidRPr="00EC0CA5">
        <w:rPr>
          <w:i/>
          <w:iCs/>
        </w:rPr>
        <w:t>Polit</w:t>
      </w:r>
      <w:r w:rsidRPr="00EC0CA5">
        <w:rPr>
          <w:i/>
          <w:iCs/>
        </w:rPr>
        <w:t>i</w:t>
      </w:r>
      <w:r w:rsidRPr="00EC0CA5">
        <w:rPr>
          <w:i/>
          <w:iCs/>
        </w:rPr>
        <w:t>que,</w:t>
      </w:r>
      <w:r w:rsidRPr="00161146">
        <w:t xml:space="preserve"> hiver 1983.</w:t>
      </w:r>
    </w:p>
  </w:footnote>
  <w:footnote w:id="15">
    <w:p w14:paraId="47701F88" w14:textId="77777777" w:rsidR="002775D9" w:rsidRDefault="002775D9" w:rsidP="002775D9">
      <w:pPr>
        <w:pStyle w:val="Notedebasdepage"/>
      </w:pPr>
      <w:r>
        <w:rPr>
          <w:rStyle w:val="Appelnotedebasdep"/>
        </w:rPr>
        <w:footnoteRef/>
      </w:r>
      <w:r>
        <w:tab/>
      </w:r>
      <w:r w:rsidRPr="00161146">
        <w:t>La société mixte Corporation de développement du Canada est active dans le pétrole, la pétrochimie, les pêcheries et l’électronique. E</w:t>
      </w:r>
      <w:r w:rsidRPr="00161146">
        <w:t>l</w:t>
      </w:r>
      <w:r w:rsidRPr="00161146">
        <w:t>le règne sur un actif de 7 milliards de dollars.</w:t>
      </w:r>
    </w:p>
  </w:footnote>
  <w:footnote w:id="16">
    <w:p w14:paraId="3376722F" w14:textId="77777777" w:rsidR="002775D9" w:rsidRDefault="002775D9" w:rsidP="002775D9">
      <w:pPr>
        <w:pStyle w:val="Notedebasdepage"/>
      </w:pPr>
      <w:r>
        <w:rPr>
          <w:rStyle w:val="Appelnotedebasdep"/>
        </w:rPr>
        <w:footnoteRef/>
      </w:r>
      <w:r>
        <w:tab/>
      </w:r>
      <w:r w:rsidRPr="00EC0CA5">
        <w:rPr>
          <w:i/>
          <w:iCs/>
        </w:rPr>
        <w:t>Canadian Business,</w:t>
      </w:r>
      <w:r w:rsidRPr="00161146">
        <w:t xml:space="preserve"> avril 1983, p. 38.</w:t>
      </w:r>
    </w:p>
  </w:footnote>
  <w:footnote w:id="17">
    <w:p w14:paraId="62073D61" w14:textId="77777777" w:rsidR="002775D9" w:rsidRDefault="002775D9" w:rsidP="002775D9">
      <w:pPr>
        <w:pStyle w:val="Notedebasdepage"/>
      </w:pPr>
      <w:r>
        <w:rPr>
          <w:rStyle w:val="Appelnotedebasdep"/>
        </w:rPr>
        <w:footnoteRef/>
      </w:r>
      <w:r>
        <w:tab/>
      </w:r>
      <w:r w:rsidRPr="00161146">
        <w:t xml:space="preserve">Voir </w:t>
      </w:r>
      <w:r w:rsidRPr="00EC0CA5">
        <w:rPr>
          <w:i/>
          <w:iCs/>
        </w:rPr>
        <w:t>La Presse,</w:t>
      </w:r>
      <w:r w:rsidRPr="00161146">
        <w:t xml:space="preserve"> 12 juin 1980.</w:t>
      </w:r>
    </w:p>
  </w:footnote>
  <w:footnote w:id="18">
    <w:p w14:paraId="4ACA96F1" w14:textId="77777777" w:rsidR="002775D9" w:rsidRDefault="002775D9" w:rsidP="002775D9">
      <w:pPr>
        <w:pStyle w:val="Notedebasdepage"/>
      </w:pPr>
      <w:r>
        <w:rPr>
          <w:rStyle w:val="Appelnotedebasdep"/>
        </w:rPr>
        <w:footnoteRef/>
      </w:r>
      <w:r>
        <w:tab/>
      </w:r>
      <w:r w:rsidRPr="00161146">
        <w:t xml:space="preserve">Voir Larry Pratt. « Energy and the National Policy », </w:t>
      </w:r>
      <w:r>
        <w:rPr>
          <w:i/>
          <w:iCs/>
        </w:rPr>
        <w:t>in Studies in Political Eco</w:t>
      </w:r>
      <w:r w:rsidRPr="00EC0CA5">
        <w:rPr>
          <w:i/>
          <w:iCs/>
        </w:rPr>
        <w:t>nomy</w:t>
      </w:r>
      <w:r>
        <w:rPr>
          <w:i/>
          <w:iCs/>
        </w:rPr>
        <w:t> :</w:t>
      </w:r>
      <w:r w:rsidRPr="00161146">
        <w:t xml:space="preserve"> </w:t>
      </w:r>
      <w:r w:rsidRPr="00EC0CA5">
        <w:rPr>
          <w:i/>
          <w:iCs/>
        </w:rPr>
        <w:t>a Socialist Review,</w:t>
      </w:r>
      <w:r w:rsidRPr="00161146">
        <w:t xml:space="preserve"> n°</w:t>
      </w:r>
      <w:r>
        <w:t> </w:t>
      </w:r>
      <w:r w:rsidRPr="00161146">
        <w:t>7, p. 27-59.</w:t>
      </w:r>
    </w:p>
  </w:footnote>
  <w:footnote w:id="19">
    <w:p w14:paraId="590D7A2F" w14:textId="77777777" w:rsidR="002775D9" w:rsidRDefault="002775D9" w:rsidP="002775D9">
      <w:pPr>
        <w:pStyle w:val="Notedebasdepage"/>
      </w:pPr>
      <w:r>
        <w:rPr>
          <w:rStyle w:val="Appelnotedebasdep"/>
        </w:rPr>
        <w:footnoteRef/>
      </w:r>
      <w:r>
        <w:tab/>
      </w:r>
      <w:r w:rsidRPr="00161146">
        <w:t>Pour une description plus détaillée de la participation can</w:t>
      </w:r>
      <w:r w:rsidRPr="00161146">
        <w:t>a</w:t>
      </w:r>
      <w:r w:rsidRPr="00161146">
        <w:t xml:space="preserve">dienne dans l’industrie pétrolière, voir la </w:t>
      </w:r>
      <w:r w:rsidRPr="00EC0CA5">
        <w:rPr>
          <w:i/>
          <w:iCs/>
        </w:rPr>
        <w:t>Liste alphabétique de taux de participation can</w:t>
      </w:r>
      <w:r w:rsidRPr="00EC0CA5">
        <w:rPr>
          <w:i/>
          <w:iCs/>
        </w:rPr>
        <w:t>a</w:t>
      </w:r>
      <w:r w:rsidRPr="00EC0CA5">
        <w:rPr>
          <w:i/>
          <w:iCs/>
        </w:rPr>
        <w:t>dien et d'État de contrôle,</w:t>
      </w:r>
      <w:r w:rsidRPr="00161146">
        <w:t xml:space="preserve"> publié par le Gouvernement canadien dans sa de</w:t>
      </w:r>
      <w:r w:rsidRPr="00161146">
        <w:t>r</w:t>
      </w:r>
      <w:r w:rsidRPr="00161146">
        <w:t>nière édition au 15 avril 1983.</w:t>
      </w:r>
    </w:p>
  </w:footnote>
  <w:footnote w:id="20">
    <w:p w14:paraId="751546B8" w14:textId="77777777" w:rsidR="002775D9" w:rsidRDefault="002775D9" w:rsidP="002775D9">
      <w:pPr>
        <w:pStyle w:val="Notedebasdepage"/>
      </w:pPr>
      <w:r>
        <w:rPr>
          <w:rStyle w:val="Appelnotedebasdep"/>
        </w:rPr>
        <w:footnoteRef/>
      </w:r>
      <w:r>
        <w:tab/>
      </w:r>
      <w:r w:rsidRPr="00161146">
        <w:t>Voir Gouvernement du Canada, ministère de l’Industrie du Commerce et de l’Expansion économique régionale. Bureau de retombées indu</w:t>
      </w:r>
      <w:r>
        <w:t>s</w:t>
      </w:r>
      <w:r w:rsidRPr="00161146">
        <w:t>trielles et r</w:t>
      </w:r>
      <w:r w:rsidRPr="00161146">
        <w:t>é</w:t>
      </w:r>
      <w:r w:rsidRPr="00161146">
        <w:t xml:space="preserve">gionales. </w:t>
      </w:r>
      <w:r w:rsidRPr="00EC0CA5">
        <w:rPr>
          <w:i/>
          <w:iCs/>
        </w:rPr>
        <w:t>Répertoire des grands projets,</w:t>
      </w:r>
      <w:r w:rsidRPr="00161146">
        <w:t xml:space="preserve"> O</w:t>
      </w:r>
      <w:r w:rsidRPr="00161146">
        <w:t>t</w:t>
      </w:r>
      <w:r w:rsidRPr="00161146">
        <w:t>tawa, mars 1983.</w:t>
      </w:r>
    </w:p>
  </w:footnote>
  <w:footnote w:id="21">
    <w:p w14:paraId="4C470564" w14:textId="77777777" w:rsidR="002775D9" w:rsidRDefault="002775D9" w:rsidP="002775D9">
      <w:pPr>
        <w:pStyle w:val="Notedebasdepage"/>
      </w:pPr>
      <w:r>
        <w:rPr>
          <w:rStyle w:val="Appelnotedebasdep"/>
        </w:rPr>
        <w:footnoteRef/>
      </w:r>
      <w:r>
        <w:tab/>
      </w:r>
      <w:r w:rsidRPr="00161146">
        <w:t>Rappelons que ce sont deux entreprises dominées par l’État québécois soit Gaz Métropolitain et Gaz inter-cité Québec qui contr</w:t>
      </w:r>
      <w:r w:rsidRPr="00161146">
        <w:t>ô</w:t>
      </w:r>
      <w:r w:rsidRPr="00161146">
        <w:t>lent la distribution du gaz en sol québécois.</w:t>
      </w:r>
    </w:p>
  </w:footnote>
  <w:footnote w:id="22">
    <w:p w14:paraId="5BA6B39B" w14:textId="77777777" w:rsidR="002775D9" w:rsidRDefault="002775D9" w:rsidP="002775D9">
      <w:pPr>
        <w:pStyle w:val="Notedebasdepage"/>
      </w:pPr>
      <w:r>
        <w:rPr>
          <w:rStyle w:val="Appelnotedebasdep"/>
        </w:rPr>
        <w:footnoteRef/>
      </w:r>
      <w:r>
        <w:tab/>
      </w:r>
      <w:r w:rsidRPr="00161146">
        <w:t xml:space="preserve">Voir Raymond Hudon, « Une enquête sur l’union économique... », </w:t>
      </w:r>
      <w:r w:rsidRPr="00EC0CA5">
        <w:rPr>
          <w:i/>
          <w:iCs/>
        </w:rPr>
        <w:t>Le D</w:t>
      </w:r>
      <w:r w:rsidRPr="00EC0CA5">
        <w:rPr>
          <w:i/>
          <w:iCs/>
        </w:rPr>
        <w:t>e</w:t>
      </w:r>
      <w:r w:rsidRPr="00EC0CA5">
        <w:rPr>
          <w:i/>
          <w:iCs/>
        </w:rPr>
        <w:t>voir,</w:t>
      </w:r>
      <w:r w:rsidRPr="00161146">
        <w:t xml:space="preserve"> 1</w:t>
      </w:r>
      <w:r w:rsidRPr="00EC0CA5">
        <w:t xml:space="preserve">er </w:t>
      </w:r>
      <w:r w:rsidRPr="00161146">
        <w:t>décembre 1982, p. 9 ; et Yves Bélanger et Claude Painchaud, « De Ma</w:t>
      </w:r>
      <w:r w:rsidRPr="00161146">
        <w:t>c</w:t>
      </w:r>
      <w:r w:rsidRPr="00161146">
        <w:t>Donald à McDonald : unifier le Can</w:t>
      </w:r>
      <w:r w:rsidRPr="00161146">
        <w:t>a</w:t>
      </w:r>
      <w:r w:rsidRPr="00161146">
        <w:t xml:space="preserve">da », dans </w:t>
      </w:r>
      <w:r w:rsidRPr="00EC0CA5">
        <w:rPr>
          <w:i/>
          <w:iCs/>
        </w:rPr>
        <w:t>Conjoncture politique au Québec,</w:t>
      </w:r>
      <w:r w:rsidRPr="00161146">
        <w:t xml:space="preserve"> n°</w:t>
      </w:r>
      <w:r>
        <w:t> </w:t>
      </w:r>
      <w:r w:rsidRPr="00161146">
        <w:t>3, hiver 1983.</w:t>
      </w:r>
    </w:p>
  </w:footnote>
  <w:footnote w:id="23">
    <w:p w14:paraId="254518D4" w14:textId="77777777" w:rsidR="002775D9" w:rsidRDefault="002775D9" w:rsidP="002775D9">
      <w:pPr>
        <w:pStyle w:val="Notedebasdepage"/>
      </w:pPr>
      <w:r>
        <w:rPr>
          <w:rStyle w:val="Appelnotedebasdep"/>
        </w:rPr>
        <w:footnoteRef/>
      </w:r>
      <w:r>
        <w:tab/>
      </w:r>
      <w:r w:rsidRPr="00161146">
        <w:t>Gouvernement du Canada, Comité spécial pour l’examen d’une Société nati</w:t>
      </w:r>
      <w:r w:rsidRPr="00161146">
        <w:t>o</w:t>
      </w:r>
      <w:r w:rsidRPr="00161146">
        <w:t>nale de co</w:t>
      </w:r>
      <w:r w:rsidRPr="00161146">
        <w:t>m</w:t>
      </w:r>
      <w:r w:rsidRPr="00161146">
        <w:t xml:space="preserve">merce. </w:t>
      </w:r>
      <w:r w:rsidRPr="00EC0CA5">
        <w:rPr>
          <w:i/>
          <w:iCs/>
        </w:rPr>
        <w:t>Rapport,</w:t>
      </w:r>
      <w:r w:rsidRPr="00161146">
        <w:t xml:space="preserve"> juin 1981.</w:t>
      </w:r>
    </w:p>
  </w:footnote>
  <w:footnote w:id="24">
    <w:p w14:paraId="66D6367C" w14:textId="77777777" w:rsidR="002775D9" w:rsidRDefault="002775D9" w:rsidP="002775D9">
      <w:pPr>
        <w:pStyle w:val="Notedebasdepage"/>
      </w:pPr>
      <w:r>
        <w:rPr>
          <w:rStyle w:val="Appelnotedebasdep"/>
        </w:rPr>
        <w:footnoteRef/>
      </w:r>
      <w:r>
        <w:tab/>
      </w:r>
      <w:r w:rsidRPr="00EC0CA5">
        <w:rPr>
          <w:i/>
          <w:iCs/>
        </w:rPr>
        <w:t>Financial Post,</w:t>
      </w:r>
      <w:r w:rsidRPr="00161146">
        <w:t xml:space="preserve"> 26 mars 1983, p. 13.</w:t>
      </w:r>
    </w:p>
  </w:footnote>
  <w:footnote w:id="25">
    <w:p w14:paraId="42F51919" w14:textId="77777777" w:rsidR="002775D9" w:rsidRDefault="002775D9" w:rsidP="002775D9">
      <w:pPr>
        <w:pStyle w:val="Notedebasdepage"/>
      </w:pPr>
      <w:r>
        <w:rPr>
          <w:rStyle w:val="Appelnotedebasdep"/>
        </w:rPr>
        <w:footnoteRef/>
      </w:r>
      <w:r>
        <w:t xml:space="preserve"> </w:t>
      </w:r>
      <w:r>
        <w:tab/>
      </w:r>
      <w:r w:rsidRPr="00161146">
        <w:t>Un rapport du Sénat intitulé « Government Policy and R</w:t>
      </w:r>
      <w:r>
        <w:t>e</w:t>
      </w:r>
      <w:r w:rsidRPr="00161146">
        <w:t>gional develo</w:t>
      </w:r>
      <w:r w:rsidRPr="00161146">
        <w:t>p</w:t>
      </w:r>
      <w:r w:rsidRPr="00161146">
        <w:t xml:space="preserve">ment » dont traitait le </w:t>
      </w:r>
      <w:r w:rsidRPr="00EC0CA5">
        <w:rPr>
          <w:i/>
          <w:iCs/>
        </w:rPr>
        <w:t>Financial Post</w:t>
      </w:r>
      <w:r w:rsidRPr="00161146">
        <w:t xml:space="preserve"> dans sa livraison du 30 octobre 1982, s’est notamment élevé contre les incidences nulles pour les régions industri</w:t>
      </w:r>
      <w:r>
        <w:t>al</w:t>
      </w:r>
      <w:r>
        <w:t>i</w:t>
      </w:r>
      <w:r>
        <w:t>sées de la stratégie de méga</w:t>
      </w:r>
      <w:r w:rsidRPr="00161146">
        <w:t>projets.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D555" w14:textId="77777777" w:rsidR="002775D9" w:rsidRDefault="002775D9" w:rsidP="002775D9">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852A50">
      <w:rPr>
        <w:rFonts w:ascii="Times New Roman" w:hAnsi="Times New Roman"/>
      </w:rPr>
      <w:t>“La refonte du fédéralisme</w:t>
    </w:r>
    <w:r>
      <w:rPr>
        <w:rFonts w:ascii="Times New Roman" w:hAnsi="Times New Roman"/>
      </w:rPr>
      <w:t xml:space="preserve"> </w:t>
    </w:r>
    <w:r w:rsidRPr="00852A50">
      <w:rPr>
        <w:rFonts w:ascii="Times New Roman" w:hAnsi="Times New Roman"/>
      </w:rPr>
      <w:t>et la restructuration économique.”</w:t>
    </w:r>
    <w:r>
      <w:rPr>
        <w:rFonts w:ascii="Times New Roman" w:hAnsi="Times New Roman"/>
      </w:rPr>
      <w:t xml:space="preserve"> (1983)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7FDDFAA3" w14:textId="77777777" w:rsidR="002775D9" w:rsidRDefault="002775D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0D3B"/>
    <w:multiLevelType w:val="multilevel"/>
    <w:tmpl w:val="6F48B8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DF32AE"/>
    <w:multiLevelType w:val="multilevel"/>
    <w:tmpl w:val="F82C694A"/>
    <w:lvl w:ilvl="0">
      <w:start w:val="50"/>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452A8"/>
    <w:multiLevelType w:val="multilevel"/>
    <w:tmpl w:val="955690FA"/>
    <w:lvl w:ilvl="0">
      <w:start w:val="1"/>
      <w:numFmt w:val="decimal"/>
      <w:lvlText w:val="27.%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8751C4"/>
    <w:multiLevelType w:val="multilevel"/>
    <w:tmpl w:val="46C8E2BA"/>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E94935"/>
    <w:multiLevelType w:val="multilevel"/>
    <w:tmpl w:val="8D78CE44"/>
    <w:lvl w:ilvl="0">
      <w:start w:val="19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42279"/>
    <w:multiLevelType w:val="multilevel"/>
    <w:tmpl w:val="66E00B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0803BC"/>
    <w:multiLevelType w:val="multilevel"/>
    <w:tmpl w:val="BF7480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8B6234"/>
    <w:multiLevelType w:val="multilevel"/>
    <w:tmpl w:val="80FA9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80197B"/>
    <w:multiLevelType w:val="multilevel"/>
    <w:tmpl w:val="63BA5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DB496D"/>
    <w:multiLevelType w:val="multilevel"/>
    <w:tmpl w:val="5BECD868"/>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C8679F"/>
    <w:multiLevelType w:val="multilevel"/>
    <w:tmpl w:val="1D22EC1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D25EAD"/>
    <w:multiLevelType w:val="multilevel"/>
    <w:tmpl w:val="D35615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A51740"/>
    <w:multiLevelType w:val="multilevel"/>
    <w:tmpl w:val="5994D5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61519D"/>
    <w:multiLevelType w:val="multilevel"/>
    <w:tmpl w:val="7A72F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87578D"/>
    <w:multiLevelType w:val="multilevel"/>
    <w:tmpl w:val="0E866F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D05324"/>
    <w:multiLevelType w:val="multilevel"/>
    <w:tmpl w:val="940E77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BE63D4"/>
    <w:multiLevelType w:val="multilevel"/>
    <w:tmpl w:val="FD24D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583110"/>
    <w:multiLevelType w:val="multilevel"/>
    <w:tmpl w:val="F7B8E8A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4E4D9B"/>
    <w:multiLevelType w:val="multilevel"/>
    <w:tmpl w:val="0234006E"/>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713EE7"/>
    <w:multiLevelType w:val="multilevel"/>
    <w:tmpl w:val="B88C8848"/>
    <w:lvl w:ilvl="0">
      <w:start w:val="8"/>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644815"/>
    <w:multiLevelType w:val="multilevel"/>
    <w:tmpl w:val="15B41CC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A57CFB"/>
    <w:multiLevelType w:val="multilevel"/>
    <w:tmpl w:val="E8A48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AF2EB8"/>
    <w:multiLevelType w:val="multilevel"/>
    <w:tmpl w:val="EED064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05325E"/>
    <w:multiLevelType w:val="multilevel"/>
    <w:tmpl w:val="DFC048AA"/>
    <w:lvl w:ilvl="0">
      <w:start w:val="2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920E2C"/>
    <w:multiLevelType w:val="multilevel"/>
    <w:tmpl w:val="E35028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CB48C9"/>
    <w:multiLevelType w:val="multilevel"/>
    <w:tmpl w:val="1F2ACE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E421E8"/>
    <w:multiLevelType w:val="multilevel"/>
    <w:tmpl w:val="E2E06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AC11F3"/>
    <w:multiLevelType w:val="multilevel"/>
    <w:tmpl w:val="76FC1ADC"/>
    <w:lvl w:ilvl="0">
      <w:start w:val="2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D404CB"/>
    <w:multiLevelType w:val="multilevel"/>
    <w:tmpl w:val="08BE99D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710A90"/>
    <w:multiLevelType w:val="multilevel"/>
    <w:tmpl w:val="E23A7EA2"/>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08560B"/>
    <w:multiLevelType w:val="multilevel"/>
    <w:tmpl w:val="50A42E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7211CD"/>
    <w:multiLevelType w:val="multilevel"/>
    <w:tmpl w:val="559A58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9776B4"/>
    <w:multiLevelType w:val="multilevel"/>
    <w:tmpl w:val="380463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8075CD"/>
    <w:multiLevelType w:val="multilevel"/>
    <w:tmpl w:val="360AA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A70698"/>
    <w:multiLevelType w:val="multilevel"/>
    <w:tmpl w:val="43F80B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491B04"/>
    <w:multiLevelType w:val="multilevel"/>
    <w:tmpl w:val="35E4D250"/>
    <w:lvl w:ilvl="0">
      <w:start w:val="6"/>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F35FF0"/>
    <w:multiLevelType w:val="multilevel"/>
    <w:tmpl w:val="6CAA1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48F63B5"/>
    <w:multiLevelType w:val="multilevel"/>
    <w:tmpl w:val="C480DB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57F4F84"/>
    <w:multiLevelType w:val="hybridMultilevel"/>
    <w:tmpl w:val="ECDE808E"/>
    <w:lvl w:ilvl="0" w:tplc="C04C9E78">
      <w:numFmt w:val="bullet"/>
      <w:lvlText w:val="-"/>
      <w:lvlJc w:val="left"/>
      <w:pPr>
        <w:ind w:left="580" w:hanging="360"/>
      </w:pPr>
      <w:rPr>
        <w:rFonts w:ascii="Times New Roman" w:eastAsia="Times New Roman" w:hAnsi="Times New Roman" w:cs="Times New Roman" w:hint="default"/>
      </w:rPr>
    </w:lvl>
    <w:lvl w:ilvl="1" w:tplc="040C0003" w:tentative="1">
      <w:start w:val="1"/>
      <w:numFmt w:val="bullet"/>
      <w:lvlText w:val="o"/>
      <w:lvlJc w:val="left"/>
      <w:pPr>
        <w:ind w:left="1300" w:hanging="360"/>
      </w:pPr>
      <w:rPr>
        <w:rFonts w:ascii="Courier New" w:hAnsi="Courier New" w:cs="Wingdings" w:hint="default"/>
      </w:rPr>
    </w:lvl>
    <w:lvl w:ilvl="2" w:tplc="040C0005" w:tentative="1">
      <w:start w:val="1"/>
      <w:numFmt w:val="bullet"/>
      <w:lvlText w:val=""/>
      <w:lvlJc w:val="left"/>
      <w:pPr>
        <w:ind w:left="2020" w:hanging="360"/>
      </w:pPr>
      <w:rPr>
        <w:rFonts w:ascii="Wingdings" w:hAnsi="Wingdings" w:hint="default"/>
      </w:rPr>
    </w:lvl>
    <w:lvl w:ilvl="3" w:tplc="040C0001" w:tentative="1">
      <w:start w:val="1"/>
      <w:numFmt w:val="bullet"/>
      <w:lvlText w:val=""/>
      <w:lvlJc w:val="left"/>
      <w:pPr>
        <w:ind w:left="2740" w:hanging="360"/>
      </w:pPr>
      <w:rPr>
        <w:rFonts w:ascii="Symbol" w:hAnsi="Symbol" w:hint="default"/>
      </w:rPr>
    </w:lvl>
    <w:lvl w:ilvl="4" w:tplc="040C0003" w:tentative="1">
      <w:start w:val="1"/>
      <w:numFmt w:val="bullet"/>
      <w:lvlText w:val="o"/>
      <w:lvlJc w:val="left"/>
      <w:pPr>
        <w:ind w:left="3460" w:hanging="360"/>
      </w:pPr>
      <w:rPr>
        <w:rFonts w:ascii="Courier New" w:hAnsi="Courier New" w:cs="Wingdings" w:hint="default"/>
      </w:rPr>
    </w:lvl>
    <w:lvl w:ilvl="5" w:tplc="040C0005" w:tentative="1">
      <w:start w:val="1"/>
      <w:numFmt w:val="bullet"/>
      <w:lvlText w:val=""/>
      <w:lvlJc w:val="left"/>
      <w:pPr>
        <w:ind w:left="4180" w:hanging="360"/>
      </w:pPr>
      <w:rPr>
        <w:rFonts w:ascii="Wingdings" w:hAnsi="Wingdings" w:hint="default"/>
      </w:rPr>
    </w:lvl>
    <w:lvl w:ilvl="6" w:tplc="040C0001" w:tentative="1">
      <w:start w:val="1"/>
      <w:numFmt w:val="bullet"/>
      <w:lvlText w:val=""/>
      <w:lvlJc w:val="left"/>
      <w:pPr>
        <w:ind w:left="4900" w:hanging="360"/>
      </w:pPr>
      <w:rPr>
        <w:rFonts w:ascii="Symbol" w:hAnsi="Symbol" w:hint="default"/>
      </w:rPr>
    </w:lvl>
    <w:lvl w:ilvl="7" w:tplc="040C0003" w:tentative="1">
      <w:start w:val="1"/>
      <w:numFmt w:val="bullet"/>
      <w:lvlText w:val="o"/>
      <w:lvlJc w:val="left"/>
      <w:pPr>
        <w:ind w:left="5620" w:hanging="360"/>
      </w:pPr>
      <w:rPr>
        <w:rFonts w:ascii="Courier New" w:hAnsi="Courier New" w:cs="Wingdings" w:hint="default"/>
      </w:rPr>
    </w:lvl>
    <w:lvl w:ilvl="8" w:tplc="040C0005" w:tentative="1">
      <w:start w:val="1"/>
      <w:numFmt w:val="bullet"/>
      <w:lvlText w:val=""/>
      <w:lvlJc w:val="left"/>
      <w:pPr>
        <w:ind w:left="6340" w:hanging="360"/>
      </w:pPr>
      <w:rPr>
        <w:rFonts w:ascii="Wingdings" w:hAnsi="Wingdings" w:hint="default"/>
      </w:rPr>
    </w:lvl>
  </w:abstractNum>
  <w:abstractNum w:abstractNumId="40" w15:restartNumberingAfterBreak="0">
    <w:nsid w:val="76417A85"/>
    <w:multiLevelType w:val="multilevel"/>
    <w:tmpl w:val="0744F4A2"/>
    <w:lvl w:ilvl="0">
      <w:start w:val="8"/>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EF59D9"/>
    <w:multiLevelType w:val="multilevel"/>
    <w:tmpl w:val="5E8EC7F8"/>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AA71BAF"/>
    <w:multiLevelType w:val="multilevel"/>
    <w:tmpl w:val="97D42D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C94E01"/>
    <w:multiLevelType w:val="multilevel"/>
    <w:tmpl w:val="87B217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AF96771"/>
    <w:multiLevelType w:val="multilevel"/>
    <w:tmpl w:val="341A3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FF4BEA"/>
    <w:multiLevelType w:val="hybridMultilevel"/>
    <w:tmpl w:val="2F90114E"/>
    <w:lvl w:ilvl="0" w:tplc="98104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F757C76"/>
    <w:multiLevelType w:val="multilevel"/>
    <w:tmpl w:val="406CFE5C"/>
    <w:lvl w:ilvl="0">
      <w:start w:val="3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4029969">
    <w:abstractNumId w:val="20"/>
  </w:num>
  <w:num w:numId="2" w16cid:durableId="1703432435">
    <w:abstractNumId w:val="45"/>
  </w:num>
  <w:num w:numId="3" w16cid:durableId="836842819">
    <w:abstractNumId w:val="39"/>
  </w:num>
  <w:num w:numId="4" w16cid:durableId="276328983">
    <w:abstractNumId w:val="27"/>
  </w:num>
  <w:num w:numId="5" w16cid:durableId="612859612">
    <w:abstractNumId w:val="8"/>
  </w:num>
  <w:num w:numId="6" w16cid:durableId="604577568">
    <w:abstractNumId w:val="9"/>
  </w:num>
  <w:num w:numId="7" w16cid:durableId="1494419220">
    <w:abstractNumId w:val="34"/>
  </w:num>
  <w:num w:numId="8" w16cid:durableId="1086540168">
    <w:abstractNumId w:val="13"/>
  </w:num>
  <w:num w:numId="9" w16cid:durableId="816846325">
    <w:abstractNumId w:val="43"/>
  </w:num>
  <w:num w:numId="10" w16cid:durableId="2120223999">
    <w:abstractNumId w:val="15"/>
  </w:num>
  <w:num w:numId="11" w16cid:durableId="1259369116">
    <w:abstractNumId w:val="3"/>
  </w:num>
  <w:num w:numId="12" w16cid:durableId="746416985">
    <w:abstractNumId w:val="32"/>
  </w:num>
  <w:num w:numId="13" w16cid:durableId="2064330359">
    <w:abstractNumId w:val="31"/>
  </w:num>
  <w:num w:numId="14" w16cid:durableId="1340308288">
    <w:abstractNumId w:val="7"/>
  </w:num>
  <w:num w:numId="15" w16cid:durableId="581530452">
    <w:abstractNumId w:val="16"/>
  </w:num>
  <w:num w:numId="16" w16cid:durableId="892154800">
    <w:abstractNumId w:val="35"/>
  </w:num>
  <w:num w:numId="17" w16cid:durableId="874270344">
    <w:abstractNumId w:val="37"/>
  </w:num>
  <w:num w:numId="18" w16cid:durableId="2138376086">
    <w:abstractNumId w:val="5"/>
  </w:num>
  <w:num w:numId="19" w16cid:durableId="607740694">
    <w:abstractNumId w:val="22"/>
  </w:num>
  <w:num w:numId="20" w16cid:durableId="309286095">
    <w:abstractNumId w:val="18"/>
  </w:num>
  <w:num w:numId="21" w16cid:durableId="1386366687">
    <w:abstractNumId w:val="36"/>
  </w:num>
  <w:num w:numId="22" w16cid:durableId="398939680">
    <w:abstractNumId w:val="40"/>
  </w:num>
  <w:num w:numId="23" w16cid:durableId="1237978123">
    <w:abstractNumId w:val="19"/>
  </w:num>
  <w:num w:numId="24" w16cid:durableId="934093226">
    <w:abstractNumId w:val="29"/>
  </w:num>
  <w:num w:numId="25" w16cid:durableId="535971065">
    <w:abstractNumId w:val="4"/>
  </w:num>
  <w:num w:numId="26" w16cid:durableId="953825831">
    <w:abstractNumId w:val="21"/>
  </w:num>
  <w:num w:numId="27" w16cid:durableId="634337287">
    <w:abstractNumId w:val="42"/>
  </w:num>
  <w:num w:numId="28" w16cid:durableId="887188457">
    <w:abstractNumId w:val="30"/>
  </w:num>
  <w:num w:numId="29" w16cid:durableId="295335219">
    <w:abstractNumId w:val="24"/>
  </w:num>
  <w:num w:numId="30" w16cid:durableId="2008169646">
    <w:abstractNumId w:val="46"/>
  </w:num>
  <w:num w:numId="31" w16cid:durableId="763846529">
    <w:abstractNumId w:val="28"/>
  </w:num>
  <w:num w:numId="32" w16cid:durableId="406151933">
    <w:abstractNumId w:val="41"/>
  </w:num>
  <w:num w:numId="33" w16cid:durableId="1423605451">
    <w:abstractNumId w:val="2"/>
  </w:num>
  <w:num w:numId="34" w16cid:durableId="53047784">
    <w:abstractNumId w:val="11"/>
  </w:num>
  <w:num w:numId="35" w16cid:durableId="618143929">
    <w:abstractNumId w:val="14"/>
  </w:num>
  <w:num w:numId="36" w16cid:durableId="279073343">
    <w:abstractNumId w:val="0"/>
  </w:num>
  <w:num w:numId="37" w16cid:durableId="1861776512">
    <w:abstractNumId w:val="26"/>
  </w:num>
  <w:num w:numId="38" w16cid:durableId="803351643">
    <w:abstractNumId w:val="44"/>
  </w:num>
  <w:num w:numId="39" w16cid:durableId="1320966638">
    <w:abstractNumId w:val="25"/>
  </w:num>
  <w:num w:numId="40" w16cid:durableId="1253659225">
    <w:abstractNumId w:val="17"/>
  </w:num>
  <w:num w:numId="41" w16cid:durableId="1954946299">
    <w:abstractNumId w:val="33"/>
  </w:num>
  <w:num w:numId="42" w16cid:durableId="2056654245">
    <w:abstractNumId w:val="6"/>
  </w:num>
  <w:num w:numId="43" w16cid:durableId="558710580">
    <w:abstractNumId w:val="10"/>
  </w:num>
  <w:num w:numId="44" w16cid:durableId="1999264208">
    <w:abstractNumId w:val="12"/>
  </w:num>
  <w:num w:numId="45" w16cid:durableId="1504512487">
    <w:abstractNumId w:val="38"/>
  </w:num>
  <w:num w:numId="46" w16cid:durableId="593049177">
    <w:abstractNumId w:val="23"/>
  </w:num>
  <w:num w:numId="47" w16cid:durableId="699159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50ACF"/>
    <w:rsid w:val="002775D9"/>
    <w:rsid w:val="00851F6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E16310E"/>
  <w15:chartTrackingRefBased/>
  <w15:docId w15:val="{C468B1DE-1F80-664B-9E5D-42EBB9DB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E0"/>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styleId="Appeldenotedefin">
    <w:name w:val="endnote reference"/>
    <w:basedOn w:val="Policepardfaut"/>
    <w:rsid w:val="006203E0"/>
    <w:rPr>
      <w:vertAlign w:val="superscript"/>
    </w:rPr>
  </w:style>
  <w:style w:type="character" w:styleId="Appelnotedebasdep">
    <w:name w:val="footnote reference"/>
    <w:basedOn w:val="Policepardfaut"/>
    <w:autoRedefine/>
    <w:rsid w:val="006203E0"/>
    <w:rPr>
      <w:color w:val="FF0000"/>
      <w:position w:val="6"/>
      <w:sz w:val="20"/>
    </w:rPr>
  </w:style>
  <w:style w:type="paragraph" w:styleId="Grillecouleur-Accent1">
    <w:name w:val="Colorful Grid Accent 1"/>
    <w:basedOn w:val="Normal"/>
    <w:link w:val="Grillecouleur-Accent1Car"/>
    <w:autoRedefine/>
    <w:rsid w:val="00EA5106"/>
    <w:pPr>
      <w:spacing w:before="120" w:after="120"/>
      <w:ind w:left="720"/>
      <w:jc w:val="both"/>
    </w:pPr>
    <w:rPr>
      <w:color w:val="000080"/>
      <w:sz w:val="24"/>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6203E0"/>
    <w:pPr>
      <w:jc w:val="center"/>
    </w:pPr>
    <w:rPr>
      <w:i/>
      <w:color w:val="000080"/>
      <w:sz w:val="36"/>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Hyperlien">
    <w:name w:val="Hyperlink"/>
    <w:basedOn w:val="Policepardfaut"/>
    <w:uiPriority w:val="99"/>
    <w:rsid w:val="006203E0"/>
    <w:rPr>
      <w:color w:val="0000FF"/>
      <w:u w:val="single"/>
    </w:rPr>
  </w:style>
  <w:style w:type="character" w:styleId="Lienvisit">
    <w:name w:val="FollowedHyperlink"/>
    <w:basedOn w:val="Policepardfaut"/>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val="0"/>
      <w:i w:val="0"/>
      <w:color w:val="800080"/>
      <w:sz w:val="48"/>
    </w:rPr>
  </w:style>
  <w:style w:type="paragraph" w:styleId="Notedebasdepage">
    <w:name w:val="footnote text"/>
    <w:basedOn w:val="Normal"/>
    <w:link w:val="NotedebasdepageCar"/>
    <w:autoRedefine/>
    <w:rsid w:val="00A972BC"/>
    <w:pPr>
      <w:spacing w:before="40"/>
      <w:ind w:left="360" w:hanging="360"/>
      <w:jc w:val="both"/>
    </w:pPr>
    <w:rPr>
      <w:color w:val="000000"/>
      <w:sz w:val="24"/>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203E0"/>
    <w:pPr>
      <w:ind w:left="20" w:firstLine="400"/>
    </w:pPr>
    <w:rPr>
      <w:rFonts w:ascii="Arial" w:hAnsi="Arial"/>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203E0"/>
    <w:pPr>
      <w:ind w:left="20" w:firstLine="380"/>
      <w:jc w:val="both"/>
    </w:pPr>
    <w:rPr>
      <w:rFonts w:ascii="Arial" w:hAnsi="Arial"/>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6203E0"/>
    <w:pPr>
      <w:widowControl w:val="0"/>
    </w:pPr>
    <w:rPr>
      <w:rFonts w:ascii="Times New Roman" w:hAnsi="Times New Roman"/>
      <w:b w:val="0"/>
      <w:color w:val="000080"/>
      <w:sz w:val="36"/>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6203E0"/>
    <w:pPr>
      <w:tabs>
        <w:tab w:val="right" w:pos="9360"/>
      </w:tabs>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91157F"/>
    <w:rPr>
      <w:b w:val="0"/>
      <w:sz w:val="64"/>
    </w:rPr>
  </w:style>
  <w:style w:type="paragraph" w:styleId="TableauGrille2">
    <w:name w:val="Grid Table 2"/>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autoRedefine/>
    <w:rsid w:val="00F14727"/>
    <w:pPr>
      <w:ind w:firstLine="0"/>
      <w:jc w:val="left"/>
    </w:pPr>
    <w:rPr>
      <w:b/>
      <w:i/>
      <w:iCs/>
      <w:color w:val="FF0000"/>
      <w:sz w:val="32"/>
    </w:rPr>
  </w:style>
  <w:style w:type="paragraph" w:customStyle="1" w:styleId="c">
    <w:name w:val="c"/>
    <w:basedOn w:val="Normal0"/>
    <w:rsid w:val="006203E0"/>
    <w:pPr>
      <w:keepLines/>
      <w:ind w:firstLine="0"/>
      <w:jc w:val="center"/>
    </w:pPr>
    <w:rPr>
      <w:color w:val="FF0000"/>
    </w:rPr>
  </w:style>
  <w:style w:type="paragraph" w:customStyle="1" w:styleId="Citation0">
    <w:name w:val="Citation 0"/>
    <w:basedOn w:val="Grillecouleur-Accent1"/>
    <w:autoRedefine/>
    <w:rsid w:val="006203E0"/>
    <w:pPr>
      <w:ind w:firstLine="0"/>
    </w:pPr>
  </w:style>
  <w:style w:type="character" w:customStyle="1" w:styleId="contact-emailto">
    <w:name w:val="contact-emailto"/>
    <w:basedOn w:val="Policepardfaut"/>
    <w:rsid w:val="006203E0"/>
  </w:style>
  <w:style w:type="paragraph" w:customStyle="1" w:styleId="fig">
    <w:name w:val="fig"/>
    <w:basedOn w:val="Normal0"/>
    <w:autoRedefine/>
    <w:rsid w:val="006203E0"/>
    <w:pPr>
      <w:ind w:firstLine="0"/>
      <w:jc w:val="center"/>
    </w:p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D33586"/>
    <w:pPr>
      <w:ind w:firstLine="0"/>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paragraph" w:customStyle="1" w:styleId="Titlest1">
    <w:name w:val="Title_st 1"/>
    <w:basedOn w:val="Titlest"/>
    <w:rsid w:val="00E84857"/>
    <w:rPr>
      <w:i/>
    </w:rPr>
  </w:style>
  <w:style w:type="paragraph" w:customStyle="1" w:styleId="Titlestc">
    <w:name w:val="Title_st c"/>
    <w:basedOn w:val="Titlest"/>
    <w:rsid w:val="00E84857"/>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5F3CF4"/>
    <w:pPr>
      <w:spacing w:before="120" w:after="120"/>
      <w:jc w:val="both"/>
    </w:pPr>
    <w:rPr>
      <w:b/>
      <w:i/>
      <w:color w:val="FF0000"/>
      <w:sz w:val="32"/>
    </w:rPr>
  </w:style>
  <w:style w:type="paragraph" w:customStyle="1" w:styleId="b">
    <w:name w:val="b"/>
    <w:basedOn w:val="Normal"/>
    <w:autoRedefine/>
    <w:rsid w:val="00F14727"/>
    <w:pPr>
      <w:spacing w:before="120" w:after="120"/>
      <w:ind w:left="720" w:firstLine="0"/>
    </w:pPr>
    <w:rPr>
      <w:i/>
      <w:color w:val="0000FF"/>
    </w:rPr>
  </w:style>
  <w:style w:type="paragraph" w:customStyle="1" w:styleId="bb">
    <w:name w:val="bb"/>
    <w:basedOn w:val="Normal"/>
    <w:rsid w:val="005F3CF4"/>
    <w:pPr>
      <w:spacing w:before="120" w:after="120"/>
      <w:ind w:left="540"/>
    </w:pPr>
    <w:rPr>
      <w:i/>
      <w:color w:val="0000FF"/>
    </w:rPr>
  </w:style>
  <w:style w:type="character" w:customStyle="1" w:styleId="Grillecouleur-Accent1Car">
    <w:name w:val="Grille couleur - Accent 1 Car"/>
    <w:link w:val="Grillecouleur-Accent1"/>
    <w:rsid w:val="00EA5106"/>
    <w:rPr>
      <w:rFonts w:ascii="Times New Roman" w:eastAsia="Times New Roman" w:hAnsi="Times New Roman"/>
      <w:color w:val="000080"/>
      <w:sz w:val="24"/>
      <w:lang w:val="fr-CA" w:eastAsia="en-US"/>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val="fr-CA" w:eastAsia="en-US"/>
    </w:rPr>
  </w:style>
  <w:style w:type="character" w:customStyle="1" w:styleId="Corpsdetexte2Car">
    <w:name w:val="Corps de texte 2 Car"/>
    <w:link w:val="Corpsdetexte2"/>
    <w:rsid w:val="005F3CF4"/>
    <w:rPr>
      <w:rFonts w:ascii="Arial" w:eastAsia="Times New Roman" w:hAnsi="Arial"/>
      <w:sz w:val="28"/>
      <w:lang w:val="fr-CA" w:eastAsia="en-US"/>
    </w:rPr>
  </w:style>
  <w:style w:type="character" w:customStyle="1" w:styleId="Corpsdetexte3Car">
    <w:name w:val="Corps de texte 3 Car"/>
    <w:link w:val="Corpsdetexte3"/>
    <w:rsid w:val="005F3CF4"/>
    <w:rPr>
      <w:rFonts w:ascii="Arial" w:eastAsia="Times New Roman" w:hAnsi="Arial"/>
      <w:lang w:val="fr-CA" w:eastAsia="en-US"/>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5F3CF4"/>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val="fr-CA" w:eastAsia="en-US"/>
    </w:rPr>
  </w:style>
  <w:style w:type="paragraph" w:customStyle="1" w:styleId="figlgende">
    <w:name w:val="fig légende"/>
    <w:basedOn w:val="Normal0"/>
    <w:rsid w:val="005F3CF4"/>
    <w:rPr>
      <w:color w:val="000090"/>
      <w:sz w:val="24"/>
      <w:szCs w:val="16"/>
      <w:lang w:eastAsia="fr-FR"/>
    </w:rPr>
  </w:style>
  <w:style w:type="paragraph" w:customStyle="1" w:styleId="figst">
    <w:name w:val="fig st"/>
    <w:basedOn w:val="Normal"/>
    <w:autoRedefine/>
    <w:rsid w:val="009D2C26"/>
    <w:pPr>
      <w:spacing w:before="120" w:after="120"/>
      <w:ind w:firstLine="0"/>
      <w:jc w:val="center"/>
    </w:pPr>
    <w:rPr>
      <w:rFonts w:cs="Arial"/>
      <w:color w:val="000090"/>
      <w:sz w:val="24"/>
      <w:szCs w:val="16"/>
    </w:rPr>
  </w:style>
  <w:style w:type="paragraph" w:customStyle="1" w:styleId="figtitre">
    <w:name w:val="fig titre"/>
    <w:basedOn w:val="Normal"/>
    <w:autoRedefine/>
    <w:rsid w:val="005F3CF4"/>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A972BC"/>
    <w:rPr>
      <w:rFonts w:ascii="Times New Roman" w:eastAsia="Times New Roman" w:hAnsi="Times New Roman"/>
      <w:color w:val="000000"/>
      <w:sz w:val="24"/>
      <w:lang w:val="fr-CA" w:eastAsia="en-US"/>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val="fr-CA" w:eastAsia="en-US"/>
    </w:rPr>
  </w:style>
  <w:style w:type="character" w:customStyle="1" w:styleId="RetraitcorpsdetexteCar">
    <w:name w:val="Retrait corps de texte Car"/>
    <w:link w:val="Retraitcorpsdetexte"/>
    <w:rsid w:val="005F3CF4"/>
    <w:rPr>
      <w:rFonts w:ascii="Arial" w:eastAsia="Times New Roman" w:hAnsi="Arial"/>
      <w:sz w:val="28"/>
      <w:lang w:val="fr-CA" w:eastAsia="en-US"/>
    </w:rPr>
  </w:style>
  <w:style w:type="character" w:customStyle="1" w:styleId="Retraitcorpsdetexte2Car">
    <w:name w:val="Retrait corps de texte 2 Car"/>
    <w:link w:val="Retraitcorpsdetexte2"/>
    <w:rsid w:val="005F3CF4"/>
    <w:rPr>
      <w:rFonts w:ascii="Arial" w:eastAsia="Times New Roman" w:hAnsi="Arial"/>
      <w:sz w:val="28"/>
      <w:lang w:val="fr-CA" w:eastAsia="en-US"/>
    </w:rPr>
  </w:style>
  <w:style w:type="character" w:customStyle="1" w:styleId="Retraitcorpsdetexte3Car">
    <w:name w:val="Retrait corps de texte 3 Car"/>
    <w:link w:val="Retraitcorpsdetexte3"/>
    <w:rsid w:val="005F3CF4"/>
    <w:rPr>
      <w:rFonts w:ascii="Arial" w:eastAsia="Times New Roman" w:hAnsi="Arial"/>
      <w:sz w:val="28"/>
      <w:lang w:val="fr-CA" w:eastAsia="en-US"/>
    </w:rPr>
  </w:style>
  <w:style w:type="paragraph" w:customStyle="1" w:styleId="Tabledesmatires0">
    <w:name w:val="Table des matières"/>
    <w:basedOn w:val="Normal"/>
    <w:link w:val="Tabledesmatires"/>
    <w:rsid w:val="005F3CF4"/>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val="fr-CA" w:eastAsia="en-US"/>
    </w:rPr>
  </w:style>
  <w:style w:type="character" w:customStyle="1" w:styleId="Titre1Car">
    <w:name w:val="Titre 1 Car"/>
    <w:link w:val="Titre1"/>
    <w:rsid w:val="005F3CF4"/>
    <w:rPr>
      <w:rFonts w:eastAsia="Times New Roman"/>
      <w:noProof/>
      <w:lang w:val="fr-CA" w:eastAsia="en-US" w:bidi="ar-SA"/>
    </w:rPr>
  </w:style>
  <w:style w:type="paragraph" w:customStyle="1" w:styleId="Lgendedutableau0">
    <w:name w:val="Légende du tableau"/>
    <w:basedOn w:val="Normal"/>
    <w:link w:val="Lgendedutableau"/>
    <w:rsid w:val="005F3CF4"/>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val="fr-CA" w:eastAsia="en-US" w:bidi="ar-SA"/>
    </w:rPr>
  </w:style>
  <w:style w:type="character" w:customStyle="1" w:styleId="Titre3Car">
    <w:name w:val="Titre 3 Car"/>
    <w:link w:val="Titre3"/>
    <w:rsid w:val="005F3CF4"/>
    <w:rPr>
      <w:rFonts w:eastAsia="Times New Roman"/>
      <w:noProof/>
      <w:lang w:val="fr-CA" w:eastAsia="en-US" w:bidi="ar-SA"/>
    </w:rPr>
  </w:style>
  <w:style w:type="character" w:customStyle="1" w:styleId="Titre4Car">
    <w:name w:val="Titre 4 Car"/>
    <w:link w:val="Titre4"/>
    <w:rsid w:val="005F3CF4"/>
    <w:rPr>
      <w:rFonts w:eastAsia="Times New Roman"/>
      <w:noProof/>
      <w:lang w:val="fr-CA" w:eastAsia="en-US" w:bidi="ar-SA"/>
    </w:rPr>
  </w:style>
  <w:style w:type="character" w:customStyle="1" w:styleId="Titre5Car">
    <w:name w:val="Titre 5 Car"/>
    <w:link w:val="Titre5"/>
    <w:rsid w:val="005F3CF4"/>
    <w:rPr>
      <w:rFonts w:eastAsia="Times New Roman"/>
      <w:noProof/>
      <w:lang w:val="fr-CA" w:eastAsia="en-US" w:bidi="ar-SA"/>
    </w:rPr>
  </w:style>
  <w:style w:type="character" w:customStyle="1" w:styleId="Titre6Car">
    <w:name w:val="Titre 6 Car"/>
    <w:link w:val="Titre6"/>
    <w:rsid w:val="005F3CF4"/>
    <w:rPr>
      <w:rFonts w:eastAsia="Times New Roman"/>
      <w:noProof/>
      <w:lang w:val="fr-CA" w:eastAsia="en-US" w:bidi="ar-SA"/>
    </w:rPr>
  </w:style>
  <w:style w:type="character" w:customStyle="1" w:styleId="Titre7Car">
    <w:name w:val="Titre 7 Car"/>
    <w:link w:val="Titre7"/>
    <w:rsid w:val="005F3CF4"/>
    <w:rPr>
      <w:rFonts w:eastAsia="Times New Roman"/>
      <w:noProof/>
      <w:lang w:val="fr-CA" w:eastAsia="en-US" w:bidi="ar-SA"/>
    </w:rPr>
  </w:style>
  <w:style w:type="character" w:customStyle="1" w:styleId="Titre8Car">
    <w:name w:val="Titre 8 Car"/>
    <w:link w:val="Titre8"/>
    <w:rsid w:val="005F3CF4"/>
    <w:rPr>
      <w:rFonts w:eastAsia="Times New Roman"/>
      <w:noProof/>
      <w:lang w:val="fr-CA" w:eastAsia="en-US" w:bidi="ar-SA"/>
    </w:rPr>
  </w:style>
  <w:style w:type="character" w:customStyle="1" w:styleId="Titre9Car">
    <w:name w:val="Titre 9 Car"/>
    <w:link w:val="Titre9"/>
    <w:rsid w:val="005F3CF4"/>
    <w:rPr>
      <w:rFonts w:eastAsia="Times New Roman"/>
      <w:noProof/>
      <w:lang w:val="fr-CA"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BB1C2F"/>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BB1C2F"/>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planche"/>
    <w:rsid w:val="00890E45"/>
  </w:style>
  <w:style w:type="character" w:customStyle="1" w:styleId="TM2Car">
    <w:name w:val="TM 2 Car"/>
    <w:link w:val="TM2"/>
    <w:rsid w:val="00575BD5"/>
    <w:rPr>
      <w:rFonts w:ascii="Times New Roman" w:eastAsia="Times New Roman" w:hAnsi="Times New Roman"/>
      <w:sz w:val="21"/>
      <w:szCs w:val="21"/>
      <w:shd w:val="clear" w:color="auto" w:fill="FFFFFF"/>
    </w:rPr>
  </w:style>
  <w:style w:type="character" w:customStyle="1" w:styleId="Tabledesmatires48pt">
    <w:name w:val="Table des matières (4) + 8 pt"/>
    <w:rsid w:val="00575BD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abledesmatires475ptItalique">
    <w:name w:val="Table des matières (4) + 7.5 pt;Italique"/>
    <w:rsid w:val="00575BD5"/>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Tabledesmatires475pt">
    <w:name w:val="Table des matières (4) + 7.5 pt"/>
    <w:rsid w:val="00575BD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Tabledesmatires475ptGrasItalique">
    <w:name w:val="Table des matières (4) + 7.5 pt;Gras;Italique"/>
    <w:rsid w:val="00575BD5"/>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5NonGrasNonItalique">
    <w:name w:val="Corps du texte (5) + Non Gras;Non Italique"/>
    <w:rsid w:val="00575BD5"/>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58ptNonGrasNonItalique">
    <w:name w:val="Corps du texte (5) + 8 pt;Non Gras;Non Italique"/>
    <w:rsid w:val="00575BD5"/>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En-tteoupieddepage7ptItalique">
    <w:name w:val="En-tête ou pied de page + 7 pt;Italique"/>
    <w:rsid w:val="00575BD5"/>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23TimesNewRoman12ptNonItaliqueEspacement0pt">
    <w:name w:val="Corps du texte (23) + Times New Roman;12 pt;Non Italique;Espacement 0 pt"/>
    <w:rsid w:val="00575BD5"/>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Corpsdutexte24105ptEspacement4pt">
    <w:name w:val="Corps du texte (24) + 10.5 pt;Espacement 4 pt"/>
    <w:rsid w:val="00575BD5"/>
    <w:rPr>
      <w:rFonts w:ascii="Times New Roman" w:eastAsia="Times New Roman" w:hAnsi="Times New Roman" w:cs="Times New Roman"/>
      <w:b w:val="0"/>
      <w:bCs w:val="0"/>
      <w:i/>
      <w:iCs/>
      <w:smallCaps w:val="0"/>
      <w:strike w:val="0"/>
      <w:color w:val="000000"/>
      <w:spacing w:val="90"/>
      <w:w w:val="100"/>
      <w:position w:val="0"/>
      <w:sz w:val="21"/>
      <w:szCs w:val="21"/>
      <w:u w:val="none"/>
      <w:lang w:val="fr-FR" w:eastAsia="fr-FR" w:bidi="fr-FR"/>
    </w:rPr>
  </w:style>
  <w:style w:type="character" w:customStyle="1" w:styleId="Corpsdutexte24105ptNonItalique">
    <w:name w:val="Corps du texte (24) + 10.5 pt;Non Italique"/>
    <w:rsid w:val="00575BD5"/>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2ItaliqueEspacement2pt">
    <w:name w:val="Corps du texte (2) + Italique;Espacement 2 pt"/>
    <w:rsid w:val="00575BD5"/>
    <w:rPr>
      <w:rFonts w:ascii="Times New Roman" w:eastAsia="Times New Roman" w:hAnsi="Times New Roman" w:cs="Times New Roman"/>
      <w:b w:val="0"/>
      <w:bCs w:val="0"/>
      <w:i/>
      <w:iCs/>
      <w:smallCaps w:val="0"/>
      <w:strike w:val="0"/>
      <w:color w:val="000000"/>
      <w:spacing w:val="40"/>
      <w:w w:val="100"/>
      <w:position w:val="0"/>
      <w:sz w:val="21"/>
      <w:szCs w:val="21"/>
      <w:u w:val="none"/>
      <w:lang w:val="fr-FR" w:eastAsia="fr-FR" w:bidi="fr-FR"/>
    </w:rPr>
  </w:style>
  <w:style w:type="character" w:customStyle="1" w:styleId="Corpsdutexte1510ptNonItalique">
    <w:name w:val="Corps du texte (15) + 10 pt;Non Italique"/>
    <w:rsid w:val="00575BD5"/>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CourierNew16pt">
    <w:name w:val="En-tête ou pied de page + Courier New;16 pt"/>
    <w:rsid w:val="00575BD5"/>
    <w:rPr>
      <w:rFonts w:ascii="Courier New" w:eastAsia="Courier New" w:hAnsi="Courier New" w:cs="Courier New"/>
      <w:b w:val="0"/>
      <w:bCs w:val="0"/>
      <w:i w:val="0"/>
      <w:iCs w:val="0"/>
      <w:smallCaps w:val="0"/>
      <w:strike w:val="0"/>
      <w:color w:val="000000"/>
      <w:spacing w:val="0"/>
      <w:w w:val="100"/>
      <w:position w:val="0"/>
      <w:sz w:val="32"/>
      <w:szCs w:val="32"/>
      <w:u w:val="none"/>
      <w:lang w:val="fr-FR" w:eastAsia="fr-FR" w:bidi="fr-FR"/>
    </w:rPr>
  </w:style>
  <w:style w:type="character" w:customStyle="1" w:styleId="En-tteoupieddepageCourierNew20pt">
    <w:name w:val="En-tête ou pied de page + Courier New;20 pt"/>
    <w:rsid w:val="00575BD5"/>
    <w:rPr>
      <w:rFonts w:ascii="Courier New" w:eastAsia="Courier New" w:hAnsi="Courier New" w:cs="Courier New"/>
      <w:b w:val="0"/>
      <w:bCs w:val="0"/>
      <w:i w:val="0"/>
      <w:iCs w:val="0"/>
      <w:smallCaps w:val="0"/>
      <w:strike w:val="0"/>
      <w:color w:val="000000"/>
      <w:spacing w:val="0"/>
      <w:w w:val="100"/>
      <w:position w:val="0"/>
      <w:sz w:val="40"/>
      <w:szCs w:val="40"/>
      <w:u w:val="none"/>
      <w:lang w:val="fr-FR" w:eastAsia="fr-FR" w:bidi="fr-FR"/>
    </w:rPr>
  </w:style>
  <w:style w:type="character" w:customStyle="1" w:styleId="Lgendedelimage3Exact">
    <w:name w:val="Légende de l'image (3) Exact"/>
    <w:link w:val="Lgendedelimage3"/>
    <w:rsid w:val="00575BD5"/>
    <w:rPr>
      <w:rFonts w:ascii="Times New Roman" w:eastAsia="Times New Roman" w:hAnsi="Times New Roman"/>
      <w:i/>
      <w:iCs/>
      <w:sz w:val="14"/>
      <w:szCs w:val="14"/>
      <w:shd w:val="clear" w:color="auto" w:fill="FFFFFF"/>
    </w:rPr>
  </w:style>
  <w:style w:type="character" w:customStyle="1" w:styleId="Corpsdutexte675ptItalique">
    <w:name w:val="Corps du texte (6) + 7.5 pt;Italique"/>
    <w:rsid w:val="00575BD5"/>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610ptItalique">
    <w:name w:val="Corps du texte (6) + 10 pt;Italique"/>
    <w:rsid w:val="00575BD5"/>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210ptNonGras">
    <w:name w:val="En-tête #2 + 10 pt;Non Gras"/>
    <w:rsid w:val="00575BD5"/>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33Italiquechelle66Exact">
    <w:name w:val="Corps du texte (33) + Italique;Échelle 66% Exact"/>
    <w:rsid w:val="00575BD5"/>
    <w:rPr>
      <w:rFonts w:ascii="Arial" w:eastAsia="Arial" w:hAnsi="Arial" w:cs="Arial"/>
      <w:b/>
      <w:bCs/>
      <w:i/>
      <w:iCs/>
      <w:smallCaps w:val="0"/>
      <w:strike w:val="0"/>
      <w:color w:val="000000"/>
      <w:spacing w:val="0"/>
      <w:w w:val="66"/>
      <w:position w:val="0"/>
      <w:sz w:val="44"/>
      <w:szCs w:val="44"/>
      <w:u w:val="none"/>
      <w:lang w:val="fr-FR" w:eastAsia="fr-FR" w:bidi="fr-FR"/>
    </w:rPr>
  </w:style>
  <w:style w:type="character" w:customStyle="1" w:styleId="Lgendedelimage4">
    <w:name w:val="Légende de l'image (4)_"/>
    <w:link w:val="Lgendedelimage40"/>
    <w:rsid w:val="00575BD5"/>
    <w:rPr>
      <w:rFonts w:ascii="AppleGothic" w:eastAsia="AppleGothic" w:hAnsi="AppleGothic" w:cs="AppleGothic"/>
      <w:spacing w:val="20"/>
      <w:sz w:val="21"/>
      <w:szCs w:val="21"/>
      <w:shd w:val="clear" w:color="auto" w:fill="FFFFFF"/>
    </w:rPr>
  </w:style>
  <w:style w:type="paragraph" w:styleId="TM2">
    <w:name w:val="toc 2"/>
    <w:basedOn w:val="Normal"/>
    <w:link w:val="TM2Car"/>
    <w:autoRedefine/>
    <w:rsid w:val="00575BD5"/>
    <w:pPr>
      <w:widowControl w:val="0"/>
      <w:shd w:val="clear" w:color="auto" w:fill="FFFFFF"/>
      <w:spacing w:line="220" w:lineRule="exact"/>
      <w:ind w:firstLine="35"/>
      <w:jc w:val="both"/>
    </w:pPr>
    <w:rPr>
      <w:sz w:val="21"/>
      <w:szCs w:val="21"/>
      <w:lang w:val="x-none" w:eastAsia="x-none"/>
    </w:rPr>
  </w:style>
  <w:style w:type="paragraph" w:customStyle="1" w:styleId="Lgendedelimage3">
    <w:name w:val="Légende de l'image (3)"/>
    <w:basedOn w:val="Normal"/>
    <w:link w:val="Lgendedelimage3Exact"/>
    <w:rsid w:val="00575BD5"/>
    <w:pPr>
      <w:widowControl w:val="0"/>
      <w:shd w:val="clear" w:color="auto" w:fill="FFFFFF"/>
      <w:spacing w:line="0" w:lineRule="atLeast"/>
      <w:ind w:firstLine="32"/>
    </w:pPr>
    <w:rPr>
      <w:i/>
      <w:iCs/>
      <w:sz w:val="14"/>
      <w:szCs w:val="14"/>
      <w:lang w:val="x-none" w:eastAsia="x-none"/>
    </w:rPr>
  </w:style>
  <w:style w:type="paragraph" w:customStyle="1" w:styleId="Lgendedelimage40">
    <w:name w:val="Légende de l'image (4)"/>
    <w:basedOn w:val="Normal"/>
    <w:link w:val="Lgendedelimage4"/>
    <w:rsid w:val="00575BD5"/>
    <w:pPr>
      <w:widowControl w:val="0"/>
      <w:shd w:val="clear" w:color="auto" w:fill="FFFFFF"/>
      <w:spacing w:line="0" w:lineRule="atLeast"/>
      <w:ind w:hanging="6"/>
    </w:pPr>
    <w:rPr>
      <w:rFonts w:ascii="AppleGothic" w:eastAsia="AppleGothic" w:hAnsi="AppleGothic"/>
      <w:spacing w:val="20"/>
      <w:sz w:val="21"/>
      <w:szCs w:val="21"/>
      <w:lang w:val="x-none" w:eastAsia="x-none"/>
    </w:rPr>
  </w:style>
  <w:style w:type="paragraph" w:customStyle="1" w:styleId="planchenb0">
    <w:name w:val="planche n&amp;b 0"/>
    <w:basedOn w:val="planchenb"/>
    <w:autoRedefine/>
    <w:rsid w:val="00955780"/>
    <w:rPr>
      <w:color w:val="auto"/>
    </w:rPr>
  </w:style>
  <w:style w:type="character" w:customStyle="1" w:styleId="En-tteoupieddepage9ptItalique">
    <w:name w:val="En-tête ou pied de page + 9 pt;Italique"/>
    <w:rsid w:val="00BE688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Lgendedutableau2">
    <w:name w:val="Légende du tableau (2)_"/>
    <w:link w:val="Lgendedutableau20"/>
    <w:rsid w:val="00BE6881"/>
    <w:rPr>
      <w:rFonts w:ascii="Times New Roman" w:eastAsia="Times New Roman" w:hAnsi="Times New Roman"/>
      <w:b/>
      <w:bCs/>
      <w:sz w:val="21"/>
      <w:szCs w:val="21"/>
      <w:shd w:val="clear" w:color="auto" w:fill="FFFFFF"/>
    </w:rPr>
  </w:style>
  <w:style w:type="paragraph" w:customStyle="1" w:styleId="Lgendedutableau20">
    <w:name w:val="Légende du tableau (2)"/>
    <w:basedOn w:val="Normal"/>
    <w:link w:val="Lgendedutableau2"/>
    <w:rsid w:val="00BE6881"/>
    <w:pPr>
      <w:widowControl w:val="0"/>
      <w:shd w:val="clear" w:color="auto" w:fill="FFFFFF"/>
      <w:spacing w:line="0" w:lineRule="atLeast"/>
      <w:ind w:firstLine="29"/>
    </w:pPr>
    <w:rPr>
      <w:b/>
      <w:bCs/>
      <w:sz w:val="21"/>
      <w:szCs w:val="21"/>
      <w:lang w:val="x-none" w:eastAsia="x-none"/>
    </w:rPr>
  </w:style>
  <w:style w:type="character" w:customStyle="1" w:styleId="Corpsdutexte265ptEspacement1pt">
    <w:name w:val="Corps du texte (2) + 6.5 pt;Espacement 1 pt"/>
    <w:rsid w:val="00BE6881"/>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fr-FR" w:eastAsia="fr-FR" w:bidi="fr-FR"/>
    </w:rPr>
  </w:style>
  <w:style w:type="character" w:customStyle="1" w:styleId="Corpsdutexte685ptNonGrasItalique">
    <w:name w:val="Corps du texte (6) + 8.5 pt;Non Gras;Italique"/>
    <w:rsid w:val="00BE6881"/>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78ptGrasNonItalique">
    <w:name w:val="Corps du texte (7) + 8 pt;Gras;Non Italique"/>
    <w:rsid w:val="00BE6881"/>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Tabledesmatires5">
    <w:name w:val="Table des matières (5)_"/>
    <w:link w:val="Tabledesmatires50"/>
    <w:rsid w:val="00BE6881"/>
    <w:rPr>
      <w:rFonts w:ascii="Times New Roman" w:eastAsia="Times New Roman" w:hAnsi="Times New Roman"/>
      <w:spacing w:val="10"/>
      <w:sz w:val="10"/>
      <w:szCs w:val="10"/>
      <w:shd w:val="clear" w:color="auto" w:fill="FFFFFF"/>
    </w:rPr>
  </w:style>
  <w:style w:type="paragraph" w:customStyle="1" w:styleId="Tabledesmatires50">
    <w:name w:val="Table des matières (5)"/>
    <w:basedOn w:val="Normal"/>
    <w:link w:val="Tabledesmatires5"/>
    <w:rsid w:val="00BE6881"/>
    <w:pPr>
      <w:widowControl w:val="0"/>
      <w:shd w:val="clear" w:color="auto" w:fill="FFFFFF"/>
      <w:spacing w:before="180" w:after="60" w:line="0" w:lineRule="atLeast"/>
      <w:ind w:hanging="5"/>
      <w:jc w:val="both"/>
    </w:pPr>
    <w:rPr>
      <w:spacing w:val="10"/>
      <w:sz w:val="10"/>
      <w:szCs w:val="10"/>
      <w:lang w:val="x-none" w:eastAsia="x-none"/>
    </w:rPr>
  </w:style>
  <w:style w:type="character" w:customStyle="1" w:styleId="Tabledesmatires6">
    <w:name w:val="Table des matières (6)_"/>
    <w:link w:val="Tabledesmatires60"/>
    <w:rsid w:val="00BE6881"/>
    <w:rPr>
      <w:rFonts w:ascii="Times New Roman" w:eastAsia="Times New Roman" w:hAnsi="Times New Roman"/>
      <w:spacing w:val="10"/>
      <w:sz w:val="11"/>
      <w:szCs w:val="11"/>
      <w:shd w:val="clear" w:color="auto" w:fill="FFFFFF"/>
    </w:rPr>
  </w:style>
  <w:style w:type="paragraph" w:customStyle="1" w:styleId="Tabledesmatires60">
    <w:name w:val="Table des matières (6)"/>
    <w:basedOn w:val="Normal"/>
    <w:link w:val="Tabledesmatires6"/>
    <w:rsid w:val="00BE6881"/>
    <w:pPr>
      <w:widowControl w:val="0"/>
      <w:shd w:val="clear" w:color="auto" w:fill="FFFFFF"/>
      <w:spacing w:before="60" w:line="306" w:lineRule="exact"/>
      <w:ind w:hanging="5"/>
      <w:jc w:val="both"/>
    </w:pPr>
    <w:rPr>
      <w:spacing w:val="10"/>
      <w:sz w:val="11"/>
      <w:szCs w:val="11"/>
      <w:lang w:val="x-none" w:eastAsia="x-none"/>
    </w:rPr>
  </w:style>
  <w:style w:type="character" w:customStyle="1" w:styleId="LgendedelimageExact">
    <w:name w:val="Légende de l'image Exact"/>
    <w:rsid w:val="00BE6881"/>
    <w:rPr>
      <w:rFonts w:ascii="Times New Roman" w:eastAsia="Times New Roman" w:hAnsi="Times New Roman" w:cs="Times New Roman"/>
      <w:b/>
      <w:bCs/>
      <w:i w:val="0"/>
      <w:iCs w:val="0"/>
      <w:smallCaps w:val="0"/>
      <w:strike w:val="0"/>
      <w:sz w:val="16"/>
      <w:szCs w:val="16"/>
      <w:u w:val="none"/>
    </w:rPr>
  </w:style>
  <w:style w:type="character" w:customStyle="1" w:styleId="Lgendedelimage85ptNonGrasItaliqueExact">
    <w:name w:val="Légende de l'image + 8.5 pt;Non Gras;Italique Exact"/>
    <w:rsid w:val="00BE6881"/>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27ptEspacement0pt">
    <w:name w:val="Corps du texte (2) + 7 pt;Espacement 0 pt"/>
    <w:rsid w:val="00BE6881"/>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Corpsdutexte28ptGras">
    <w:name w:val="Corps du texte (2) + 8 pt;Gras"/>
    <w:rsid w:val="00BE6881"/>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265ptGrasEspacement1pt">
    <w:name w:val="Corps du texte (2) + 6.5 pt;Gras;Espacement 1 pt"/>
    <w:rsid w:val="00BE6881"/>
    <w:rPr>
      <w:rFonts w:ascii="Times New Roman" w:eastAsia="Times New Roman" w:hAnsi="Times New Roman" w:cs="Times New Roman"/>
      <w:b/>
      <w:bCs/>
      <w:i w:val="0"/>
      <w:iCs w:val="0"/>
      <w:smallCaps w:val="0"/>
      <w:strike w:val="0"/>
      <w:color w:val="000000"/>
      <w:spacing w:val="20"/>
      <w:w w:val="100"/>
      <w:position w:val="0"/>
      <w:sz w:val="13"/>
      <w:szCs w:val="13"/>
      <w:u w:val="none"/>
      <w:lang w:val="fr-FR" w:eastAsia="fr-FR" w:bidi="fr-FR"/>
    </w:rPr>
  </w:style>
  <w:style w:type="character" w:customStyle="1" w:styleId="Corpsdutexte275ptGrasItalique">
    <w:name w:val="Corps du texte (2) + 7.5 pt;Gras;Italique"/>
    <w:rsid w:val="00BE6881"/>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LgendedutableauExact">
    <w:name w:val="Légende du tableau Exact"/>
    <w:rsid w:val="00BE6881"/>
    <w:rPr>
      <w:rFonts w:ascii="Times New Roman" w:eastAsia="Times New Roman" w:hAnsi="Times New Roman" w:cs="Times New Roman"/>
      <w:b/>
      <w:bCs/>
      <w:i w:val="0"/>
      <w:iCs w:val="0"/>
      <w:smallCaps w:val="0"/>
      <w:strike w:val="0"/>
      <w:sz w:val="16"/>
      <w:szCs w:val="16"/>
      <w:u w:val="none"/>
    </w:rPr>
  </w:style>
  <w:style w:type="character" w:customStyle="1" w:styleId="Lgendedutableau85ptNonGrasItaliqueExact">
    <w:name w:val="Légende du tableau + 8.5 pt;Non Gras;Italique Exact"/>
    <w:rsid w:val="00BE6881"/>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285ptItalique">
    <w:name w:val="Corps du texte (2) + 8.5 pt;Italique"/>
    <w:rsid w:val="00BE6881"/>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Lgendedutableau3Exact">
    <w:name w:val="Légende du tableau (3) Exact"/>
    <w:link w:val="Lgendedutableau3"/>
    <w:rsid w:val="00BE6881"/>
    <w:rPr>
      <w:rFonts w:ascii="Times New Roman" w:eastAsia="Times New Roman" w:hAnsi="Times New Roman"/>
      <w:spacing w:val="20"/>
      <w:sz w:val="15"/>
      <w:szCs w:val="15"/>
      <w:shd w:val="clear" w:color="auto" w:fill="FFFFFF"/>
    </w:rPr>
  </w:style>
  <w:style w:type="paragraph" w:customStyle="1" w:styleId="Lgendedutableau3">
    <w:name w:val="Légende du tableau (3)"/>
    <w:basedOn w:val="Normal"/>
    <w:link w:val="Lgendedutableau3Exact"/>
    <w:rsid w:val="00BE6881"/>
    <w:pPr>
      <w:widowControl w:val="0"/>
      <w:shd w:val="clear" w:color="auto" w:fill="FFFFFF"/>
      <w:spacing w:line="0" w:lineRule="atLeast"/>
      <w:ind w:firstLine="54"/>
      <w:jc w:val="both"/>
    </w:pPr>
    <w:rPr>
      <w:spacing w:val="20"/>
      <w:sz w:val="15"/>
      <w:szCs w:val="15"/>
      <w:lang w:val="x-none" w:eastAsia="x-none"/>
    </w:rPr>
  </w:style>
  <w:style w:type="character" w:customStyle="1" w:styleId="Lgendedutableau365ptExact">
    <w:name w:val="Légende du tableau (3) + 6.5 pt Exact"/>
    <w:rsid w:val="00BE6881"/>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fr-FR" w:eastAsia="fr-FR" w:bidi="fr-FR"/>
    </w:rPr>
  </w:style>
  <w:style w:type="character" w:customStyle="1" w:styleId="Corpsdutexte675ptNonGras">
    <w:name w:val="Corps du texte (6) + 7.5 pt;Non Gras"/>
    <w:rsid w:val="00BE6881"/>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Lgendedutableau4Exact">
    <w:name w:val="Légende du tableau (4) Exact"/>
    <w:rsid w:val="00BE6881"/>
    <w:rPr>
      <w:rFonts w:ascii="Times New Roman" w:eastAsia="Times New Roman" w:hAnsi="Times New Roman" w:cs="Times New Roman"/>
      <w:b w:val="0"/>
      <w:bCs w:val="0"/>
      <w:i w:val="0"/>
      <w:iCs w:val="0"/>
      <w:smallCaps w:val="0"/>
      <w:strike w:val="0"/>
      <w:spacing w:val="20"/>
      <w:sz w:val="13"/>
      <w:szCs w:val="13"/>
      <w:u w:val="none"/>
    </w:rPr>
  </w:style>
  <w:style w:type="character" w:customStyle="1" w:styleId="Lgendedutableau4">
    <w:name w:val="Légende du tableau (4)_"/>
    <w:link w:val="Lgendedutableau40"/>
    <w:rsid w:val="00BE6881"/>
    <w:rPr>
      <w:rFonts w:ascii="Times New Roman" w:eastAsia="Times New Roman" w:hAnsi="Times New Roman"/>
      <w:spacing w:val="20"/>
      <w:sz w:val="13"/>
      <w:szCs w:val="13"/>
      <w:shd w:val="clear" w:color="auto" w:fill="FFFFFF"/>
    </w:rPr>
  </w:style>
  <w:style w:type="paragraph" w:customStyle="1" w:styleId="Lgendedutableau40">
    <w:name w:val="Légende du tableau (4)"/>
    <w:basedOn w:val="Normal"/>
    <w:link w:val="Lgendedutableau4"/>
    <w:rsid w:val="00BE6881"/>
    <w:pPr>
      <w:widowControl w:val="0"/>
      <w:shd w:val="clear" w:color="auto" w:fill="FFFFFF"/>
      <w:spacing w:line="0" w:lineRule="atLeast"/>
      <w:ind w:hanging="6"/>
    </w:pPr>
    <w:rPr>
      <w:spacing w:val="20"/>
      <w:sz w:val="13"/>
      <w:szCs w:val="13"/>
      <w:lang w:val="x-none" w:eastAsia="x-none"/>
    </w:rPr>
  </w:style>
  <w:style w:type="character" w:customStyle="1" w:styleId="Tabledesmatires7Exact">
    <w:name w:val="Table des matières (7) Exact"/>
    <w:link w:val="Tabledesmatires7"/>
    <w:rsid w:val="00BE6881"/>
    <w:rPr>
      <w:sz w:val="16"/>
      <w:szCs w:val="16"/>
      <w:shd w:val="clear" w:color="auto" w:fill="FFFFFF"/>
    </w:rPr>
  </w:style>
  <w:style w:type="paragraph" w:customStyle="1" w:styleId="Tabledesmatires7">
    <w:name w:val="Table des matières (7)"/>
    <w:basedOn w:val="Normal"/>
    <w:link w:val="Tabledesmatires7Exact"/>
    <w:rsid w:val="00BE6881"/>
    <w:pPr>
      <w:widowControl w:val="0"/>
      <w:shd w:val="clear" w:color="auto" w:fill="FFFFFF"/>
      <w:spacing w:before="240" w:line="324" w:lineRule="exact"/>
      <w:ind w:hanging="5"/>
      <w:jc w:val="both"/>
    </w:pPr>
    <w:rPr>
      <w:rFonts w:ascii="Times" w:eastAsia="Times" w:hAnsi="Times"/>
      <w:sz w:val="16"/>
      <w:szCs w:val="16"/>
      <w:lang w:val="x-none" w:eastAsia="x-none"/>
    </w:rPr>
  </w:style>
  <w:style w:type="character" w:customStyle="1" w:styleId="Corpsdutexte78ptGrasNonItaliqueExact">
    <w:name w:val="Corps du texte (7) + 8 pt;Gras;Non Italique Exact"/>
    <w:rsid w:val="00BE6881"/>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213ptItalique">
    <w:name w:val="Corps du texte (2) + 13 pt;Italique"/>
    <w:rsid w:val="00BE6881"/>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rpsdutexte2Arial55ptEspacement0pt">
    <w:name w:val="Corps du texte (2) + Arial;5.5 pt;Espacement 0 pt"/>
    <w:rsid w:val="00BE6881"/>
    <w:rPr>
      <w:rFonts w:ascii="Arial" w:eastAsia="Arial" w:hAnsi="Arial" w:cs="Arial"/>
      <w:b w:val="0"/>
      <w:bCs w:val="0"/>
      <w:i w:val="0"/>
      <w:iCs w:val="0"/>
      <w:smallCaps w:val="0"/>
      <w:strike w:val="0"/>
      <w:color w:val="000000"/>
      <w:spacing w:val="-10"/>
      <w:w w:val="100"/>
      <w:position w:val="0"/>
      <w:sz w:val="11"/>
      <w:szCs w:val="11"/>
      <w:u w:val="none"/>
      <w:lang w:val="fr-FR" w:eastAsia="fr-FR" w:bidi="fr-FR"/>
    </w:rPr>
  </w:style>
  <w:style w:type="character" w:customStyle="1" w:styleId="Corpsdutexte28ptItalique">
    <w:name w:val="Corps du texte (2) + 8 pt;Italique"/>
    <w:rsid w:val="00BE6881"/>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Lgendedutableau2Exact">
    <w:name w:val="Légende du tableau (2) Exact"/>
    <w:rsid w:val="00BE6881"/>
    <w:rPr>
      <w:rFonts w:ascii="Times New Roman" w:eastAsia="Times New Roman" w:hAnsi="Times New Roman" w:cs="Times New Roman"/>
      <w:b/>
      <w:bCs/>
      <w:i w:val="0"/>
      <w:iCs w:val="0"/>
      <w:smallCaps w:val="0"/>
      <w:strike w:val="0"/>
      <w:sz w:val="21"/>
      <w:szCs w:val="21"/>
      <w:u w:val="none"/>
    </w:rPr>
  </w:style>
  <w:style w:type="character" w:customStyle="1" w:styleId="Lgendedutableau212ptExact">
    <w:name w:val="Légende du tableau (2) + 12 pt Exact"/>
    <w:rsid w:val="00BE6881"/>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Lgendedutableau5Exact">
    <w:name w:val="Légende du tableau (5) Exact"/>
    <w:link w:val="Lgendedutableau5"/>
    <w:rsid w:val="00BE6881"/>
    <w:rPr>
      <w:rFonts w:ascii="Times New Roman" w:eastAsia="Times New Roman" w:hAnsi="Times New Roman"/>
      <w:i/>
      <w:iCs/>
      <w:sz w:val="17"/>
      <w:szCs w:val="17"/>
      <w:shd w:val="clear" w:color="auto" w:fill="FFFFFF"/>
    </w:rPr>
  </w:style>
  <w:style w:type="paragraph" w:customStyle="1" w:styleId="Lgendedutableau5">
    <w:name w:val="Légende du tableau (5)"/>
    <w:basedOn w:val="Normal"/>
    <w:link w:val="Lgendedutableau5Exact"/>
    <w:rsid w:val="00BE6881"/>
    <w:pPr>
      <w:widowControl w:val="0"/>
      <w:shd w:val="clear" w:color="auto" w:fill="FFFFFF"/>
      <w:spacing w:line="0" w:lineRule="atLeast"/>
      <w:ind w:firstLine="29"/>
    </w:pPr>
    <w:rPr>
      <w:i/>
      <w:iCs/>
      <w:sz w:val="17"/>
      <w:szCs w:val="17"/>
      <w:lang w:val="x-none" w:eastAsia="x-none"/>
    </w:rPr>
  </w:style>
  <w:style w:type="character" w:customStyle="1" w:styleId="Lgendedutableau58ptGrasNonItaliqueExact">
    <w:name w:val="Légende du tableau (5) + 8 pt;Gras;Non Italique Exact"/>
    <w:rsid w:val="00BE6881"/>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285ptEspacement1pt">
    <w:name w:val="Corps du texte (2) + 8.5 pt;Espacement 1 pt"/>
    <w:rsid w:val="00BE6881"/>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2218ptItaliqueEspacement-2pt">
    <w:name w:val="Corps du texte (22) + 18 pt;Italique;Espacement -2 pt"/>
    <w:rsid w:val="00BE6881"/>
    <w:rPr>
      <w:rFonts w:ascii="Times New Roman" w:eastAsia="Times New Roman" w:hAnsi="Times New Roman" w:cs="Times New Roman"/>
      <w:b/>
      <w:bCs/>
      <w:i/>
      <w:iCs/>
      <w:smallCaps w:val="0"/>
      <w:strike w:val="0"/>
      <w:color w:val="000000"/>
      <w:spacing w:val="-40"/>
      <w:w w:val="100"/>
      <w:position w:val="0"/>
      <w:sz w:val="36"/>
      <w:szCs w:val="36"/>
      <w:u w:val="none"/>
      <w:lang w:val="fr-FR" w:eastAsia="fr-FR" w:bidi="fr-FR"/>
    </w:rPr>
  </w:style>
  <w:style w:type="character" w:customStyle="1" w:styleId="Corpsdutexte2575ptNonItalique">
    <w:name w:val="Corps du texte (25) + 7.5 pt;Non Italique"/>
    <w:rsid w:val="00BE6881"/>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69ptItalique">
    <w:name w:val="Corps du texte (26) + 9 pt;Italique"/>
    <w:rsid w:val="00BE688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Lgendedutableau6">
    <w:name w:val="Légende du tableau (6)_"/>
    <w:link w:val="Lgendedutableau60"/>
    <w:rsid w:val="00BE6881"/>
    <w:rPr>
      <w:rFonts w:ascii="Times New Roman" w:eastAsia="Times New Roman" w:hAnsi="Times New Roman"/>
      <w:i/>
      <w:iCs/>
      <w:sz w:val="21"/>
      <w:szCs w:val="21"/>
      <w:shd w:val="clear" w:color="auto" w:fill="FFFFFF"/>
    </w:rPr>
  </w:style>
  <w:style w:type="paragraph" w:customStyle="1" w:styleId="Lgendedutableau60">
    <w:name w:val="Légende du tableau (6)"/>
    <w:basedOn w:val="Normal"/>
    <w:link w:val="Lgendedutableau6"/>
    <w:rsid w:val="00BE6881"/>
    <w:pPr>
      <w:widowControl w:val="0"/>
      <w:shd w:val="clear" w:color="auto" w:fill="FFFFFF"/>
      <w:spacing w:line="0" w:lineRule="atLeast"/>
      <w:jc w:val="center"/>
    </w:pPr>
    <w:rPr>
      <w:i/>
      <w:iCs/>
      <w:sz w:val="21"/>
      <w:szCs w:val="21"/>
      <w:lang w:val="x-none" w:eastAsia="x-none"/>
    </w:rPr>
  </w:style>
  <w:style w:type="character" w:customStyle="1" w:styleId="Corpsdutexte6NonGrasItalique">
    <w:name w:val="Corps du texte (6) + Non Gras;Italique"/>
    <w:rsid w:val="00BE6881"/>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665ptNonGras">
    <w:name w:val="Corps du texte (6) + 6.5 pt;Non Gras"/>
    <w:rsid w:val="00BE6881"/>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27GrasNonItalique">
    <w:name w:val="Corps du texte (27) + Gras;Non Italique"/>
    <w:rsid w:val="00BE6881"/>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2765ptNonItalique">
    <w:name w:val="Corps du texte (27) + 6.5 pt;Non Italique"/>
    <w:rsid w:val="00BE6881"/>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Corpsdutexte268ptGras">
    <w:name w:val="Corps du texte (26) + 8 pt;Gras"/>
    <w:rsid w:val="00BE6881"/>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2685ptItalique">
    <w:name w:val="Corps du texte (26) + 8.5 pt;Italique"/>
    <w:rsid w:val="00BE6881"/>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En-tteoupieddepage59ptItalique">
    <w:name w:val="En-tête ou pied de page (5) + 9 pt;Italique"/>
    <w:rsid w:val="00BE688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514ptItaliqueEspacement0pt">
    <w:name w:val="En-tête ou pied de page (5) + 14 pt;Italique;Espacement 0 pt"/>
    <w:rsid w:val="00BE6881"/>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Corpsdutexte29ptItalique">
    <w:name w:val="Corps du texte (2) + 9 pt;Italique"/>
    <w:rsid w:val="00BE688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449ptItalique">
    <w:name w:val="Corps du texte (44) + 9 pt;Italique"/>
    <w:rsid w:val="00BE688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44ptNonGrasNonItalique">
    <w:name w:val="En-tête #4 + 4 pt;Non Gras;Non Italique"/>
    <w:rsid w:val="00BE6881"/>
    <w:rPr>
      <w:rFonts w:ascii="Times New Roman" w:eastAsia="Times New Roman" w:hAnsi="Times New Roman" w:cs="Times New Roman"/>
      <w:b/>
      <w:bCs/>
      <w:i/>
      <w:iCs/>
      <w:smallCaps w:val="0"/>
      <w:strike w:val="0"/>
      <w:color w:val="000000"/>
      <w:spacing w:val="0"/>
      <w:w w:val="100"/>
      <w:position w:val="0"/>
      <w:sz w:val="8"/>
      <w:szCs w:val="8"/>
      <w:u w:val="none"/>
      <w:lang w:val="fr-FR" w:eastAsia="fr-FR" w:bidi="fr-FR"/>
    </w:rPr>
  </w:style>
  <w:style w:type="character" w:customStyle="1" w:styleId="TM1Car">
    <w:name w:val="TM 1 Car"/>
    <w:link w:val="TM1"/>
    <w:rsid w:val="00BE6881"/>
    <w:rPr>
      <w:rFonts w:ascii="Times New Roman" w:eastAsia="Times New Roman" w:hAnsi="Times New Roman"/>
      <w:i/>
      <w:iCs/>
      <w:sz w:val="17"/>
      <w:szCs w:val="17"/>
      <w:shd w:val="clear" w:color="auto" w:fill="FFFFFF"/>
    </w:rPr>
  </w:style>
  <w:style w:type="paragraph" w:styleId="TM1">
    <w:name w:val="toc 1"/>
    <w:basedOn w:val="Normal"/>
    <w:link w:val="TM1Car"/>
    <w:autoRedefine/>
    <w:rsid w:val="00BE6881"/>
    <w:pPr>
      <w:widowControl w:val="0"/>
      <w:shd w:val="clear" w:color="auto" w:fill="FFFFFF"/>
      <w:spacing w:line="0" w:lineRule="atLeast"/>
      <w:ind w:hanging="4"/>
      <w:jc w:val="both"/>
    </w:pPr>
    <w:rPr>
      <w:i/>
      <w:iCs/>
      <w:sz w:val="17"/>
      <w:szCs w:val="17"/>
      <w:lang w:val="x-none" w:eastAsia="x-none"/>
    </w:rPr>
  </w:style>
  <w:style w:type="character" w:customStyle="1" w:styleId="Tabledesmatires28ptGrasNonItaliqueExact">
    <w:name w:val="Table des matières (2) + 8 pt;Gras;Non Italique Exact"/>
    <w:rsid w:val="00BE6881"/>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Tabledesmatires3Exact">
    <w:name w:val="Table des matières (3) Exact"/>
    <w:link w:val="Tabledesmatires3"/>
    <w:rsid w:val="00BE6881"/>
    <w:rPr>
      <w:rFonts w:ascii="Times New Roman" w:eastAsia="Times New Roman" w:hAnsi="Times New Roman"/>
      <w:b/>
      <w:bCs/>
      <w:sz w:val="16"/>
      <w:szCs w:val="16"/>
      <w:shd w:val="clear" w:color="auto" w:fill="FFFFFF"/>
    </w:rPr>
  </w:style>
  <w:style w:type="paragraph" w:customStyle="1" w:styleId="Tabledesmatires3">
    <w:name w:val="Table des matières (3)"/>
    <w:basedOn w:val="Normal"/>
    <w:link w:val="Tabledesmatires3Exact"/>
    <w:rsid w:val="00BE6881"/>
    <w:pPr>
      <w:widowControl w:val="0"/>
      <w:shd w:val="clear" w:color="auto" w:fill="FFFFFF"/>
      <w:spacing w:line="234" w:lineRule="exact"/>
      <w:ind w:hanging="4"/>
      <w:jc w:val="both"/>
    </w:pPr>
    <w:rPr>
      <w:b/>
      <w:bCs/>
      <w:sz w:val="16"/>
      <w:szCs w:val="16"/>
      <w:lang w:val="x-none" w:eastAsia="x-none"/>
    </w:rPr>
  </w:style>
  <w:style w:type="character" w:customStyle="1" w:styleId="Corpsdutexte4612ptGrasNonItaliqueEspacement0ptExact">
    <w:name w:val="Corps du texte (46) + 12 pt;Gras;Non Italique;Espacement 0 pt Exact"/>
    <w:rsid w:val="00BE6881"/>
    <w:rPr>
      <w:rFonts w:ascii="Times New Roman" w:eastAsia="Times New Roman" w:hAnsi="Times New Roman" w:cs="Times New Roman"/>
      <w:b/>
      <w:bCs/>
      <w:i/>
      <w:iCs/>
      <w:smallCaps w:val="0"/>
      <w:strike w:val="0"/>
      <w:color w:val="000000"/>
      <w:spacing w:val="0"/>
      <w:w w:val="100"/>
      <w:position w:val="0"/>
      <w:sz w:val="24"/>
      <w:szCs w:val="24"/>
      <w:u w:val="none"/>
      <w:lang w:val="uz-Cyrl-UZ"/>
    </w:rPr>
  </w:style>
  <w:style w:type="character" w:customStyle="1" w:styleId="Tabledesmatires57ptItaliqueEspacement0pt">
    <w:name w:val="Table des matières (5) + 7 pt;Italique;Espacement 0 pt"/>
    <w:rsid w:val="00BE6881"/>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Tabledesmatires57ptEspacement0pt">
    <w:name w:val="Table des matières (5) + 7 pt;Espacement 0 pt"/>
    <w:rsid w:val="00BE688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Tabledesmatires58ptGrasEspacement0pt">
    <w:name w:val="Table des matières (5) + 8 pt;Gras;Espacement 0 pt"/>
    <w:rsid w:val="00BE6881"/>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paragraph" w:styleId="TM3">
    <w:name w:val="toc 3"/>
    <w:basedOn w:val="Normal"/>
    <w:autoRedefine/>
    <w:rsid w:val="00BE6881"/>
    <w:pPr>
      <w:widowControl w:val="0"/>
      <w:shd w:val="clear" w:color="auto" w:fill="FFFFFF"/>
      <w:spacing w:line="0" w:lineRule="atLeast"/>
      <w:ind w:hanging="4"/>
      <w:jc w:val="both"/>
    </w:pPr>
    <w:rPr>
      <w:i/>
      <w:iCs/>
      <w:sz w:val="17"/>
      <w:szCs w:val="17"/>
    </w:rPr>
  </w:style>
  <w:style w:type="paragraph" w:customStyle="1" w:styleId="figtitrest">
    <w:name w:val="fig titre st"/>
    <w:basedOn w:val="figtitre"/>
    <w:autoRedefine/>
    <w:rsid w:val="00BE6881"/>
    <w:rPr>
      <w:b w:val="0"/>
      <w:color w:val="000090"/>
      <w:lang w:eastAsia="en-US" w:bidi="ar-SA"/>
    </w:rPr>
  </w:style>
  <w:style w:type="paragraph" w:customStyle="1" w:styleId="figst0">
    <w:name w:val="fig st 0"/>
    <w:basedOn w:val="figst"/>
    <w:autoRedefine/>
    <w:rsid w:val="00F851A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yperlink" Target="maito:belanger.yves@uqam.ca" TargetMode="External"/><Relationship Id="rId2" Type="http://schemas.openxmlformats.org/officeDocument/2006/relationships/styles" Target="styles.xml"/><Relationship Id="rId16" Type="http://schemas.openxmlformats.org/officeDocument/2006/relationships/hyperlink" Target="mailto:Diane-Gabrielle.Tremblay@teluq.c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9080</Words>
  <Characters>49942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“La refonte du fédéralisme et la restructuration économique.”</vt:lpstr>
    </vt:vector>
  </TitlesOfParts>
  <Manager>Réjeanne Toussaint, bénévole, 2022</Manager>
  <Company>Les Classiques des sciences sociales</Company>
  <LinksUpToDate>false</LinksUpToDate>
  <CharactersWithSpaces>58905</CharactersWithSpaces>
  <SharedDoc>false</SharedDoc>
  <HyperlinkBase/>
  <HLinks>
    <vt:vector size="78" baseType="variant">
      <vt:variant>
        <vt:i4>4522029</vt:i4>
      </vt:variant>
      <vt:variant>
        <vt:i4>21</vt:i4>
      </vt:variant>
      <vt:variant>
        <vt:i4>0</vt:i4>
      </vt:variant>
      <vt:variant>
        <vt:i4>5</vt:i4>
      </vt:variant>
      <vt:variant>
        <vt:lpwstr>file://localhost/maito/belanger.yves@uqam.ca</vt:lpwstr>
      </vt:variant>
      <vt:variant>
        <vt:lpwstr/>
      </vt:variant>
      <vt:variant>
        <vt:i4>6946900</vt:i4>
      </vt:variant>
      <vt:variant>
        <vt:i4>18</vt:i4>
      </vt:variant>
      <vt:variant>
        <vt:i4>0</vt:i4>
      </vt:variant>
      <vt:variant>
        <vt:i4>5</vt:i4>
      </vt:variant>
      <vt:variant>
        <vt:lpwstr>mailto:Diane-Gabrielle.Tremblay@teluq.ca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2446</vt:i4>
      </vt:variant>
      <vt:variant>
        <vt:i4>1025</vt:i4>
      </vt:variant>
      <vt:variant>
        <vt:i4>1</vt:i4>
      </vt:variant>
      <vt:variant>
        <vt:lpwstr>css_logo_gris</vt:lpwstr>
      </vt:variant>
      <vt:variant>
        <vt:lpwstr/>
      </vt:variant>
      <vt:variant>
        <vt:i4>5111880</vt:i4>
      </vt:variant>
      <vt:variant>
        <vt:i4>2692</vt:i4>
      </vt:variant>
      <vt:variant>
        <vt:i4>1026</vt:i4>
      </vt:variant>
      <vt:variant>
        <vt:i4>1</vt:i4>
      </vt:variant>
      <vt:variant>
        <vt:lpwstr>UQAC_logo_2018</vt:lpwstr>
      </vt:variant>
      <vt:variant>
        <vt:lpwstr/>
      </vt:variant>
      <vt:variant>
        <vt:i4>4194334</vt:i4>
      </vt:variant>
      <vt:variant>
        <vt:i4>5358</vt:i4>
      </vt:variant>
      <vt:variant>
        <vt:i4>1027</vt:i4>
      </vt:variant>
      <vt:variant>
        <vt:i4>1</vt:i4>
      </vt:variant>
      <vt:variant>
        <vt:lpwstr>Boite_aux_lettres_clair</vt:lpwstr>
      </vt:variant>
      <vt:variant>
        <vt:lpwstr/>
      </vt:variant>
      <vt:variant>
        <vt:i4>1703963</vt:i4>
      </vt:variant>
      <vt:variant>
        <vt:i4>6425</vt:i4>
      </vt:variant>
      <vt:variant>
        <vt:i4>1028</vt:i4>
      </vt:variant>
      <vt:variant>
        <vt:i4>1</vt:i4>
      </vt:variant>
      <vt:variant>
        <vt:lpwstr>fait_sur_mac</vt:lpwstr>
      </vt:variant>
      <vt:variant>
        <vt:lpwstr/>
      </vt:variant>
      <vt:variant>
        <vt:i4>2621487</vt:i4>
      </vt:variant>
      <vt:variant>
        <vt:i4>6525</vt:i4>
      </vt:variant>
      <vt:variant>
        <vt:i4>1029</vt:i4>
      </vt:variant>
      <vt:variant>
        <vt:i4>1</vt:i4>
      </vt:variant>
      <vt:variant>
        <vt:lpwstr>Intervention_econo_no_11_L25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refonte du fédéralisme et la restructuration économique.”</dc:title>
  <dc:subject/>
  <dc:creator>par Yves Bélanger et Pierre Beaulne, 1983</dc:creator>
  <cp:keywords>classiques.sc.soc@gmail.com</cp:keywords>
  <dc:description>http://classiques.uqac.ca/</dc:description>
  <cp:lastModifiedBy>jean-marie tremblay</cp:lastModifiedBy>
  <cp:revision>2</cp:revision>
  <cp:lastPrinted>2001-08-26T19:33:00Z</cp:lastPrinted>
  <dcterms:created xsi:type="dcterms:W3CDTF">2022-12-24T04:33:00Z</dcterms:created>
  <dcterms:modified xsi:type="dcterms:W3CDTF">2022-12-24T04:33:00Z</dcterms:modified>
  <cp:category>jean-marie tremblay, sociologue, fondateur, 1993</cp:category>
</cp:coreProperties>
</file>