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01ED8" w:rsidRPr="00011018" w14:paraId="6E63D3A8" w14:textId="77777777">
        <w:tblPrEx>
          <w:tblCellMar>
            <w:top w:w="0" w:type="dxa"/>
            <w:bottom w:w="0" w:type="dxa"/>
          </w:tblCellMar>
        </w:tblPrEx>
        <w:tc>
          <w:tcPr>
            <w:tcW w:w="9160" w:type="dxa"/>
            <w:shd w:val="clear" w:color="auto" w:fill="EEECE1"/>
          </w:tcPr>
          <w:p w14:paraId="5E90B200" w14:textId="77777777" w:rsidR="00D01ED8" w:rsidRPr="00011018" w:rsidRDefault="00D01ED8">
            <w:pPr>
              <w:ind w:firstLine="0"/>
              <w:jc w:val="center"/>
              <w:rPr>
                <w:sz w:val="20"/>
                <w:lang w:bidi="ar-SA"/>
              </w:rPr>
            </w:pPr>
          </w:p>
          <w:p w14:paraId="70099CDD" w14:textId="77777777" w:rsidR="00D01ED8" w:rsidRPr="00011018" w:rsidRDefault="00D01ED8">
            <w:pPr>
              <w:ind w:firstLine="0"/>
              <w:jc w:val="center"/>
              <w:rPr>
                <w:color w:val="FF0000"/>
                <w:sz w:val="20"/>
                <w:lang w:bidi="ar-SA"/>
              </w:rPr>
            </w:pPr>
          </w:p>
          <w:p w14:paraId="3BD3B595" w14:textId="77777777" w:rsidR="00D01ED8" w:rsidRPr="00011018" w:rsidRDefault="00D01ED8">
            <w:pPr>
              <w:ind w:firstLine="0"/>
              <w:jc w:val="center"/>
              <w:rPr>
                <w:color w:val="FF0000"/>
                <w:sz w:val="20"/>
                <w:lang w:bidi="ar-SA"/>
              </w:rPr>
            </w:pPr>
          </w:p>
          <w:p w14:paraId="43E9F32A" w14:textId="77777777" w:rsidR="00D01ED8" w:rsidRPr="00011018" w:rsidRDefault="00D01ED8">
            <w:pPr>
              <w:ind w:firstLine="0"/>
              <w:jc w:val="center"/>
              <w:rPr>
                <w:color w:val="FF0000"/>
                <w:sz w:val="20"/>
                <w:lang w:bidi="ar-SA"/>
              </w:rPr>
            </w:pPr>
          </w:p>
          <w:p w14:paraId="01226A87" w14:textId="77777777" w:rsidR="00D01ED8" w:rsidRPr="00011018" w:rsidRDefault="00D01ED8">
            <w:pPr>
              <w:ind w:firstLine="0"/>
              <w:jc w:val="center"/>
              <w:rPr>
                <w:b/>
                <w:sz w:val="20"/>
                <w:lang w:bidi="ar-SA"/>
              </w:rPr>
            </w:pPr>
          </w:p>
          <w:p w14:paraId="205D6F79" w14:textId="77777777" w:rsidR="00D01ED8" w:rsidRPr="00011018" w:rsidRDefault="00D01ED8">
            <w:pPr>
              <w:ind w:firstLine="0"/>
              <w:jc w:val="center"/>
              <w:rPr>
                <w:b/>
                <w:sz w:val="36"/>
                <w:lang w:bidi="ar-SA"/>
              </w:rPr>
            </w:pPr>
            <w:r>
              <w:rPr>
                <w:sz w:val="36"/>
                <w:lang w:bidi="ar-SA"/>
              </w:rPr>
              <w:t>Jacques-Yvan MORIN</w:t>
            </w:r>
          </w:p>
          <w:p w14:paraId="3B8A31CD" w14:textId="77777777" w:rsidR="00D01ED8" w:rsidRPr="00D43D86" w:rsidRDefault="00D01ED8">
            <w:pPr>
              <w:ind w:firstLine="0"/>
              <w:jc w:val="center"/>
              <w:rPr>
                <w:sz w:val="20"/>
                <w:lang w:bidi="ar-SA"/>
              </w:rPr>
            </w:pPr>
            <w:r w:rsidRPr="00D43D86">
              <w:rPr>
                <w:sz w:val="20"/>
                <w:lang w:bidi="ar-SA"/>
              </w:rPr>
              <w:t>professeur, Faculté de droit, Université de Montréal.</w:t>
            </w:r>
          </w:p>
          <w:p w14:paraId="3FA55755" w14:textId="77777777" w:rsidR="00D01ED8" w:rsidRPr="00011018" w:rsidRDefault="00D01ED8">
            <w:pPr>
              <w:ind w:firstLine="0"/>
              <w:jc w:val="center"/>
              <w:rPr>
                <w:sz w:val="20"/>
                <w:lang w:bidi="ar-SA"/>
              </w:rPr>
            </w:pPr>
          </w:p>
          <w:p w14:paraId="45142F8C" w14:textId="77777777" w:rsidR="00D01ED8" w:rsidRPr="00011018" w:rsidRDefault="00D01ED8">
            <w:pPr>
              <w:pStyle w:val="Corpsdetexte"/>
              <w:widowControl w:val="0"/>
              <w:spacing w:before="0" w:after="0"/>
              <w:rPr>
                <w:sz w:val="36"/>
                <w:lang w:bidi="ar-SA"/>
              </w:rPr>
            </w:pPr>
            <w:r w:rsidRPr="00011018">
              <w:rPr>
                <w:sz w:val="36"/>
                <w:lang w:bidi="ar-SA"/>
              </w:rPr>
              <w:t>(</w:t>
            </w:r>
            <w:r>
              <w:rPr>
                <w:sz w:val="36"/>
                <w:lang w:bidi="ar-SA"/>
              </w:rPr>
              <w:t>1990</w:t>
            </w:r>
            <w:r w:rsidRPr="00011018">
              <w:rPr>
                <w:sz w:val="36"/>
                <w:lang w:bidi="ar-SA"/>
              </w:rPr>
              <w:t>)</w:t>
            </w:r>
          </w:p>
          <w:p w14:paraId="3270D544" w14:textId="77777777" w:rsidR="00D01ED8" w:rsidRPr="00011018" w:rsidRDefault="00D01ED8">
            <w:pPr>
              <w:pStyle w:val="Corpsdetexte"/>
              <w:widowControl w:val="0"/>
              <w:spacing w:before="0" w:after="0"/>
              <w:rPr>
                <w:color w:val="FF0000"/>
                <w:sz w:val="24"/>
                <w:lang w:bidi="ar-SA"/>
              </w:rPr>
            </w:pPr>
          </w:p>
          <w:p w14:paraId="2DB26F84" w14:textId="77777777" w:rsidR="00D01ED8" w:rsidRPr="00011018" w:rsidRDefault="00D01ED8" w:rsidP="00D01ED8">
            <w:pPr>
              <w:pStyle w:val="Corpsdetexte"/>
              <w:widowControl w:val="0"/>
              <w:spacing w:before="0" w:after="0"/>
              <w:rPr>
                <w:color w:val="FF0000"/>
                <w:sz w:val="24"/>
                <w:lang w:bidi="ar-SA"/>
              </w:rPr>
            </w:pPr>
          </w:p>
          <w:p w14:paraId="316CDE51" w14:textId="77777777" w:rsidR="00D01ED8" w:rsidRPr="00011018" w:rsidRDefault="00D01ED8" w:rsidP="00D01ED8">
            <w:pPr>
              <w:pStyle w:val="Corpsdetexte"/>
              <w:widowControl w:val="0"/>
              <w:spacing w:before="0" w:after="0"/>
              <w:rPr>
                <w:color w:val="FF0000"/>
                <w:sz w:val="24"/>
                <w:lang w:bidi="ar-SA"/>
              </w:rPr>
            </w:pPr>
          </w:p>
          <w:p w14:paraId="38998837" w14:textId="77777777" w:rsidR="00D01ED8" w:rsidRPr="001373CE" w:rsidRDefault="00D01ED8" w:rsidP="00D01ED8">
            <w:pPr>
              <w:ind w:firstLine="0"/>
              <w:jc w:val="center"/>
              <w:rPr>
                <w:sz w:val="64"/>
              </w:rPr>
            </w:pPr>
            <w:r>
              <w:rPr>
                <w:sz w:val="64"/>
                <w:lang w:bidi="ar-SA"/>
              </w:rPr>
              <w:t>“Le droit public.”</w:t>
            </w:r>
          </w:p>
          <w:p w14:paraId="750B880F" w14:textId="77777777" w:rsidR="00D01ED8" w:rsidRPr="00011018" w:rsidRDefault="00D01ED8" w:rsidP="00D01ED8">
            <w:pPr>
              <w:widowControl w:val="0"/>
              <w:ind w:firstLine="0"/>
              <w:jc w:val="center"/>
              <w:rPr>
                <w:lang w:bidi="ar-SA"/>
              </w:rPr>
            </w:pPr>
          </w:p>
          <w:p w14:paraId="566F9EBC" w14:textId="77777777" w:rsidR="00D01ED8" w:rsidRDefault="00D01ED8" w:rsidP="00D01ED8">
            <w:pPr>
              <w:widowControl w:val="0"/>
              <w:ind w:firstLine="0"/>
              <w:jc w:val="center"/>
              <w:rPr>
                <w:lang w:bidi="ar-SA"/>
              </w:rPr>
            </w:pPr>
            <w:r>
              <w:rPr>
                <w:lang w:bidi="ar-SA"/>
              </w:rPr>
              <w:t>Texte d’une conférence au Colloque du 50</w:t>
            </w:r>
            <w:r w:rsidRPr="001373CE">
              <w:rPr>
                <w:vertAlign w:val="superscript"/>
                <w:lang w:bidi="ar-SA"/>
              </w:rPr>
              <w:t>e</w:t>
            </w:r>
            <w:r>
              <w:rPr>
                <w:lang w:bidi="ar-SA"/>
              </w:rPr>
              <w:t xml:space="preserve"> anniversaire</w:t>
            </w:r>
            <w:r>
              <w:rPr>
                <w:lang w:bidi="ar-SA"/>
              </w:rPr>
              <w:br/>
              <w:t>de la Faculté des sciences sociales</w:t>
            </w:r>
            <w:r>
              <w:rPr>
                <w:lang w:bidi="ar-SA"/>
              </w:rPr>
              <w:br/>
              <w:t>de l’Université Laval, 12-14 octobre 1988.</w:t>
            </w:r>
          </w:p>
          <w:p w14:paraId="132972BC" w14:textId="77777777" w:rsidR="00D01ED8" w:rsidRPr="00011018" w:rsidRDefault="00D01ED8" w:rsidP="00D01ED8">
            <w:pPr>
              <w:widowControl w:val="0"/>
              <w:ind w:firstLine="0"/>
              <w:jc w:val="center"/>
              <w:rPr>
                <w:lang w:bidi="ar-SA"/>
              </w:rPr>
            </w:pPr>
          </w:p>
          <w:p w14:paraId="38234102" w14:textId="77777777" w:rsidR="00D01ED8" w:rsidRPr="00011018" w:rsidRDefault="00D01ED8" w:rsidP="00D01ED8">
            <w:pPr>
              <w:widowControl w:val="0"/>
              <w:ind w:firstLine="0"/>
              <w:jc w:val="center"/>
              <w:rPr>
                <w:lang w:bidi="ar-SA"/>
              </w:rPr>
            </w:pPr>
          </w:p>
          <w:p w14:paraId="3B81B1BC" w14:textId="77777777" w:rsidR="00D01ED8" w:rsidRPr="00011018" w:rsidRDefault="00D01ED8" w:rsidP="00D01ED8">
            <w:pPr>
              <w:widowControl w:val="0"/>
              <w:ind w:firstLine="0"/>
              <w:jc w:val="center"/>
              <w:rPr>
                <w:sz w:val="20"/>
                <w:lang w:bidi="ar-SA"/>
              </w:rPr>
            </w:pPr>
          </w:p>
          <w:p w14:paraId="798C4220" w14:textId="77777777" w:rsidR="00D01ED8" w:rsidRPr="00011018" w:rsidRDefault="00D01ED8" w:rsidP="00D01ED8">
            <w:pPr>
              <w:widowControl w:val="0"/>
              <w:ind w:firstLine="0"/>
              <w:jc w:val="center"/>
              <w:rPr>
                <w:sz w:val="20"/>
                <w:lang w:bidi="ar-SA"/>
              </w:rPr>
            </w:pPr>
          </w:p>
          <w:p w14:paraId="14D1B4BF" w14:textId="77777777" w:rsidR="00D01ED8" w:rsidRPr="00011018" w:rsidRDefault="00D01ED8" w:rsidP="00D01ED8">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4C0FC540" w14:textId="77777777" w:rsidR="00D01ED8" w:rsidRPr="00011018" w:rsidRDefault="00D01ED8" w:rsidP="00D01ED8">
            <w:pPr>
              <w:widowControl w:val="0"/>
              <w:ind w:firstLine="0"/>
              <w:jc w:val="both"/>
              <w:rPr>
                <w:lang w:bidi="ar-SA"/>
              </w:rPr>
            </w:pPr>
          </w:p>
          <w:p w14:paraId="140EF521" w14:textId="77777777" w:rsidR="00D01ED8" w:rsidRPr="00011018" w:rsidRDefault="00D01ED8" w:rsidP="00D01ED8">
            <w:pPr>
              <w:widowControl w:val="0"/>
              <w:ind w:firstLine="0"/>
              <w:jc w:val="both"/>
              <w:rPr>
                <w:lang w:bidi="ar-SA"/>
              </w:rPr>
            </w:pPr>
          </w:p>
          <w:p w14:paraId="1CDEB467" w14:textId="77777777" w:rsidR="00D01ED8" w:rsidRPr="00011018" w:rsidRDefault="00D01ED8" w:rsidP="00D01ED8">
            <w:pPr>
              <w:widowControl w:val="0"/>
              <w:ind w:firstLine="0"/>
              <w:jc w:val="both"/>
              <w:rPr>
                <w:lang w:bidi="ar-SA"/>
              </w:rPr>
            </w:pPr>
          </w:p>
          <w:p w14:paraId="26BB9CD9" w14:textId="77777777" w:rsidR="00D01ED8" w:rsidRPr="00011018" w:rsidRDefault="00D01ED8" w:rsidP="00D01ED8">
            <w:pPr>
              <w:widowControl w:val="0"/>
              <w:ind w:firstLine="0"/>
              <w:jc w:val="both"/>
              <w:rPr>
                <w:lang w:bidi="ar-SA"/>
              </w:rPr>
            </w:pPr>
          </w:p>
          <w:p w14:paraId="067D0AF9" w14:textId="77777777" w:rsidR="00D01ED8" w:rsidRDefault="00D01ED8" w:rsidP="00D01ED8">
            <w:pPr>
              <w:widowControl w:val="0"/>
              <w:ind w:firstLine="0"/>
              <w:jc w:val="both"/>
              <w:rPr>
                <w:lang w:bidi="ar-SA"/>
              </w:rPr>
            </w:pPr>
          </w:p>
          <w:p w14:paraId="061AB9A5" w14:textId="77777777" w:rsidR="00D01ED8" w:rsidRDefault="00D01ED8" w:rsidP="00D01ED8">
            <w:pPr>
              <w:widowControl w:val="0"/>
              <w:ind w:firstLine="0"/>
              <w:jc w:val="both"/>
              <w:rPr>
                <w:lang w:bidi="ar-SA"/>
              </w:rPr>
            </w:pPr>
          </w:p>
          <w:p w14:paraId="4A50917C" w14:textId="77777777" w:rsidR="00D01ED8" w:rsidRPr="00011018" w:rsidRDefault="00D01ED8" w:rsidP="00D01ED8">
            <w:pPr>
              <w:widowControl w:val="0"/>
              <w:ind w:firstLine="0"/>
              <w:jc w:val="both"/>
              <w:rPr>
                <w:lang w:bidi="ar-SA"/>
              </w:rPr>
            </w:pPr>
          </w:p>
          <w:p w14:paraId="0FEA11C6" w14:textId="77777777" w:rsidR="00D01ED8" w:rsidRPr="00011018" w:rsidRDefault="00D01ED8">
            <w:pPr>
              <w:widowControl w:val="0"/>
              <w:ind w:firstLine="0"/>
              <w:jc w:val="both"/>
              <w:rPr>
                <w:sz w:val="20"/>
                <w:lang w:bidi="ar-SA"/>
              </w:rPr>
            </w:pPr>
          </w:p>
          <w:p w14:paraId="21B89699" w14:textId="77777777" w:rsidR="00D01ED8" w:rsidRPr="00011018" w:rsidRDefault="00D01ED8">
            <w:pPr>
              <w:widowControl w:val="0"/>
              <w:ind w:firstLine="0"/>
              <w:jc w:val="both"/>
              <w:rPr>
                <w:sz w:val="20"/>
                <w:lang w:bidi="ar-SA"/>
              </w:rPr>
            </w:pPr>
          </w:p>
          <w:p w14:paraId="417631DD" w14:textId="77777777" w:rsidR="00D01ED8" w:rsidRPr="00011018" w:rsidRDefault="00D01ED8">
            <w:pPr>
              <w:ind w:firstLine="0"/>
              <w:jc w:val="both"/>
              <w:rPr>
                <w:lang w:bidi="ar-SA"/>
              </w:rPr>
            </w:pPr>
          </w:p>
        </w:tc>
      </w:tr>
    </w:tbl>
    <w:p w14:paraId="06BBD536" w14:textId="77777777" w:rsidR="00D01ED8" w:rsidRPr="00011018" w:rsidRDefault="00D01ED8" w:rsidP="00D01ED8">
      <w:pPr>
        <w:ind w:firstLine="0"/>
        <w:jc w:val="both"/>
      </w:pPr>
      <w:r w:rsidRPr="00011018">
        <w:br w:type="page"/>
      </w:r>
    </w:p>
    <w:p w14:paraId="6EEF31C9" w14:textId="77777777" w:rsidR="00D01ED8" w:rsidRPr="00011018" w:rsidRDefault="00D01ED8" w:rsidP="00D01ED8">
      <w:pPr>
        <w:ind w:firstLine="0"/>
        <w:jc w:val="both"/>
      </w:pPr>
    </w:p>
    <w:p w14:paraId="6955DC8F" w14:textId="77777777" w:rsidR="00D01ED8" w:rsidRPr="00011018" w:rsidRDefault="00D01ED8" w:rsidP="00D01ED8">
      <w:pPr>
        <w:ind w:firstLine="0"/>
        <w:jc w:val="both"/>
      </w:pPr>
    </w:p>
    <w:p w14:paraId="1DFB538F" w14:textId="77777777" w:rsidR="00D01ED8" w:rsidRPr="00011018" w:rsidRDefault="00D01ED8" w:rsidP="00D01ED8">
      <w:pPr>
        <w:ind w:firstLine="0"/>
        <w:jc w:val="both"/>
      </w:pPr>
    </w:p>
    <w:p w14:paraId="4DC16738" w14:textId="77777777" w:rsidR="00D01ED8" w:rsidRPr="00011018" w:rsidRDefault="002C6C3B" w:rsidP="00D01ED8">
      <w:pPr>
        <w:ind w:firstLine="0"/>
        <w:jc w:val="right"/>
      </w:pPr>
      <w:r w:rsidRPr="00011018">
        <w:rPr>
          <w:noProof/>
        </w:rPr>
        <w:drawing>
          <wp:inline distT="0" distB="0" distL="0" distR="0" wp14:anchorId="7081D70B" wp14:editId="4023B0F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FA1BA1F" w14:textId="77777777" w:rsidR="00D01ED8" w:rsidRPr="00011018" w:rsidRDefault="00D01ED8" w:rsidP="00D01ED8">
      <w:pPr>
        <w:ind w:firstLine="0"/>
        <w:jc w:val="right"/>
      </w:pPr>
      <w:hyperlink r:id="rId9" w:history="1">
        <w:r w:rsidRPr="00011018">
          <w:rPr>
            <w:rStyle w:val="Hyperlien"/>
          </w:rPr>
          <w:t>http://classiques.uqac.ca/</w:t>
        </w:r>
      </w:hyperlink>
      <w:r w:rsidRPr="00011018">
        <w:t xml:space="preserve"> </w:t>
      </w:r>
    </w:p>
    <w:p w14:paraId="4A6DE485" w14:textId="77777777" w:rsidR="00D01ED8" w:rsidRPr="00011018" w:rsidRDefault="00D01ED8" w:rsidP="00D01ED8">
      <w:pPr>
        <w:ind w:firstLine="0"/>
        <w:jc w:val="both"/>
      </w:pPr>
    </w:p>
    <w:p w14:paraId="74E49110" w14:textId="77777777" w:rsidR="00D01ED8" w:rsidRPr="00011018" w:rsidRDefault="00D01ED8" w:rsidP="00D01ED8">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7F9E0F57" w14:textId="77777777" w:rsidR="00D01ED8" w:rsidRPr="00011018" w:rsidRDefault="00D01ED8" w:rsidP="00D01ED8">
      <w:pPr>
        <w:ind w:firstLine="0"/>
        <w:jc w:val="both"/>
      </w:pPr>
    </w:p>
    <w:p w14:paraId="6DBF789C" w14:textId="77777777" w:rsidR="00D01ED8" w:rsidRPr="00011018" w:rsidRDefault="00D01ED8" w:rsidP="00D01ED8">
      <w:pPr>
        <w:ind w:firstLine="0"/>
        <w:jc w:val="both"/>
      </w:pPr>
    </w:p>
    <w:p w14:paraId="6582EA30" w14:textId="77777777" w:rsidR="00D01ED8" w:rsidRPr="00011018" w:rsidRDefault="002C6C3B" w:rsidP="00D01ED8">
      <w:pPr>
        <w:ind w:firstLine="0"/>
        <w:jc w:val="both"/>
      </w:pPr>
      <w:r w:rsidRPr="00011018">
        <w:rPr>
          <w:noProof/>
        </w:rPr>
        <w:drawing>
          <wp:inline distT="0" distB="0" distL="0" distR="0" wp14:anchorId="3447CF6A" wp14:editId="41ECE262">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A5F1478" w14:textId="77777777" w:rsidR="00D01ED8" w:rsidRPr="00011018" w:rsidRDefault="00D01ED8" w:rsidP="00D01ED8">
      <w:pPr>
        <w:ind w:firstLine="0"/>
        <w:jc w:val="both"/>
      </w:pPr>
      <w:hyperlink r:id="rId11" w:history="1">
        <w:r w:rsidRPr="00011018">
          <w:rPr>
            <w:rStyle w:val="Hyperlien"/>
          </w:rPr>
          <w:t>http://bibliotheque.uqac.ca/</w:t>
        </w:r>
      </w:hyperlink>
      <w:r w:rsidRPr="00011018">
        <w:t xml:space="preserve"> </w:t>
      </w:r>
    </w:p>
    <w:p w14:paraId="5CA1220C" w14:textId="77777777" w:rsidR="00D01ED8" w:rsidRPr="00011018" w:rsidRDefault="00D01ED8" w:rsidP="00D01ED8">
      <w:pPr>
        <w:ind w:firstLine="0"/>
        <w:jc w:val="both"/>
      </w:pPr>
    </w:p>
    <w:p w14:paraId="2CA41A20" w14:textId="77777777" w:rsidR="00D01ED8" w:rsidRPr="00011018" w:rsidRDefault="00D01ED8" w:rsidP="00D01ED8">
      <w:pPr>
        <w:ind w:firstLine="0"/>
        <w:jc w:val="both"/>
      </w:pPr>
    </w:p>
    <w:p w14:paraId="2E8B0974" w14:textId="77777777" w:rsidR="00D01ED8" w:rsidRPr="00011018" w:rsidRDefault="00D01ED8" w:rsidP="00D01ED8">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26F67A17" w14:textId="77777777" w:rsidR="00D01ED8" w:rsidRPr="00011018" w:rsidRDefault="00D01ED8" w:rsidP="00D01ED8">
      <w:pPr>
        <w:widowControl w:val="0"/>
        <w:autoSpaceDE w:val="0"/>
        <w:autoSpaceDN w:val="0"/>
        <w:adjustRightInd w:val="0"/>
        <w:rPr>
          <w:sz w:val="32"/>
          <w:szCs w:val="32"/>
        </w:rPr>
      </w:pPr>
      <w:r w:rsidRPr="00011018">
        <w:br w:type="page"/>
      </w:r>
    </w:p>
    <w:p w14:paraId="58B67AC1" w14:textId="77777777" w:rsidR="00D01ED8" w:rsidRPr="00011018" w:rsidRDefault="00D01ED8">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6B901301" w14:textId="77777777" w:rsidR="00D01ED8" w:rsidRPr="00011018" w:rsidRDefault="00D01ED8">
      <w:pPr>
        <w:widowControl w:val="0"/>
        <w:autoSpaceDE w:val="0"/>
        <w:autoSpaceDN w:val="0"/>
        <w:adjustRightInd w:val="0"/>
        <w:rPr>
          <w:sz w:val="32"/>
          <w:szCs w:val="32"/>
        </w:rPr>
      </w:pPr>
    </w:p>
    <w:p w14:paraId="113605DA" w14:textId="77777777" w:rsidR="00D01ED8" w:rsidRPr="00011018" w:rsidRDefault="00D01ED8">
      <w:pPr>
        <w:widowControl w:val="0"/>
        <w:autoSpaceDE w:val="0"/>
        <w:autoSpaceDN w:val="0"/>
        <w:adjustRightInd w:val="0"/>
        <w:jc w:val="both"/>
        <w:rPr>
          <w:color w:val="1C1C1C"/>
          <w:sz w:val="26"/>
          <w:szCs w:val="26"/>
        </w:rPr>
      </w:pPr>
    </w:p>
    <w:p w14:paraId="608B32AB" w14:textId="77777777" w:rsidR="00D01ED8" w:rsidRPr="00011018" w:rsidRDefault="00D01ED8">
      <w:pPr>
        <w:widowControl w:val="0"/>
        <w:autoSpaceDE w:val="0"/>
        <w:autoSpaceDN w:val="0"/>
        <w:adjustRightInd w:val="0"/>
        <w:jc w:val="both"/>
        <w:rPr>
          <w:color w:val="1C1C1C"/>
          <w:sz w:val="26"/>
          <w:szCs w:val="26"/>
        </w:rPr>
      </w:pPr>
    </w:p>
    <w:p w14:paraId="5723A5FB" w14:textId="77777777" w:rsidR="00D01ED8" w:rsidRPr="00011018" w:rsidRDefault="00D01ED8">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0DA3828D" w14:textId="77777777" w:rsidR="00D01ED8" w:rsidRPr="00011018" w:rsidRDefault="00D01ED8">
      <w:pPr>
        <w:widowControl w:val="0"/>
        <w:autoSpaceDE w:val="0"/>
        <w:autoSpaceDN w:val="0"/>
        <w:adjustRightInd w:val="0"/>
        <w:jc w:val="both"/>
        <w:rPr>
          <w:color w:val="1C1C1C"/>
          <w:sz w:val="26"/>
          <w:szCs w:val="26"/>
        </w:rPr>
      </w:pPr>
    </w:p>
    <w:p w14:paraId="54D41212" w14:textId="77777777" w:rsidR="00D01ED8" w:rsidRPr="00011018" w:rsidRDefault="00D01ED8" w:rsidP="00D01ED8">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66C614E1" w14:textId="77777777" w:rsidR="00D01ED8" w:rsidRPr="00011018" w:rsidRDefault="00D01ED8" w:rsidP="00D01ED8">
      <w:pPr>
        <w:widowControl w:val="0"/>
        <w:autoSpaceDE w:val="0"/>
        <w:autoSpaceDN w:val="0"/>
        <w:adjustRightInd w:val="0"/>
        <w:jc w:val="both"/>
        <w:rPr>
          <w:color w:val="1C1C1C"/>
          <w:sz w:val="26"/>
          <w:szCs w:val="26"/>
        </w:rPr>
      </w:pPr>
    </w:p>
    <w:p w14:paraId="581BDB7F" w14:textId="77777777" w:rsidR="00D01ED8" w:rsidRPr="00011018" w:rsidRDefault="00D01ED8" w:rsidP="00D01ED8">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3FC07639" w14:textId="77777777" w:rsidR="00D01ED8" w:rsidRPr="00011018" w:rsidRDefault="00D01ED8" w:rsidP="00D01ED8">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tre moyen (couleur, police, mise en page, extraits, support, etc...),</w:t>
      </w:r>
    </w:p>
    <w:p w14:paraId="55842F70" w14:textId="77777777" w:rsidR="00D01ED8" w:rsidRPr="00011018" w:rsidRDefault="00D01ED8" w:rsidP="00D01ED8">
      <w:pPr>
        <w:widowControl w:val="0"/>
        <w:autoSpaceDE w:val="0"/>
        <w:autoSpaceDN w:val="0"/>
        <w:adjustRightInd w:val="0"/>
        <w:jc w:val="both"/>
        <w:rPr>
          <w:color w:val="1C1C1C"/>
          <w:sz w:val="26"/>
          <w:szCs w:val="26"/>
        </w:rPr>
      </w:pPr>
    </w:p>
    <w:p w14:paraId="4B1CC782" w14:textId="77777777" w:rsidR="00D01ED8" w:rsidRPr="00011018" w:rsidRDefault="00D01ED8">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2A1EAEAE" w14:textId="77777777" w:rsidR="00D01ED8" w:rsidRPr="00011018" w:rsidRDefault="00D01ED8">
      <w:pPr>
        <w:widowControl w:val="0"/>
        <w:autoSpaceDE w:val="0"/>
        <w:autoSpaceDN w:val="0"/>
        <w:adjustRightInd w:val="0"/>
        <w:jc w:val="both"/>
        <w:rPr>
          <w:color w:val="1C1C1C"/>
          <w:sz w:val="26"/>
          <w:szCs w:val="26"/>
        </w:rPr>
      </w:pPr>
    </w:p>
    <w:p w14:paraId="762004A0" w14:textId="77777777" w:rsidR="00D01ED8" w:rsidRPr="00011018" w:rsidRDefault="00D01ED8">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455E6FE7" w14:textId="77777777" w:rsidR="00D01ED8" w:rsidRPr="00011018" w:rsidRDefault="00D01ED8">
      <w:pPr>
        <w:rPr>
          <w:b/>
          <w:color w:val="1C1C1C"/>
          <w:sz w:val="26"/>
          <w:szCs w:val="26"/>
        </w:rPr>
      </w:pPr>
    </w:p>
    <w:p w14:paraId="52F7BB79" w14:textId="77777777" w:rsidR="00D01ED8" w:rsidRPr="00011018" w:rsidRDefault="00D01ED8">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04DFE089" w14:textId="77777777" w:rsidR="00D01ED8" w:rsidRPr="00011018" w:rsidRDefault="00D01ED8">
      <w:pPr>
        <w:rPr>
          <w:b/>
          <w:color w:val="1C1C1C"/>
          <w:sz w:val="26"/>
          <w:szCs w:val="26"/>
        </w:rPr>
      </w:pPr>
    </w:p>
    <w:p w14:paraId="1BB59780" w14:textId="77777777" w:rsidR="00D01ED8" w:rsidRPr="00011018" w:rsidRDefault="00D01ED8">
      <w:pPr>
        <w:rPr>
          <w:color w:val="1C1C1C"/>
          <w:sz w:val="26"/>
          <w:szCs w:val="26"/>
        </w:rPr>
      </w:pPr>
      <w:r w:rsidRPr="00011018">
        <w:rPr>
          <w:color w:val="1C1C1C"/>
          <w:sz w:val="26"/>
          <w:szCs w:val="26"/>
        </w:rPr>
        <w:t>Jean-Marie Tremblay, sociologue</w:t>
      </w:r>
    </w:p>
    <w:p w14:paraId="2081D807" w14:textId="77777777" w:rsidR="00D01ED8" w:rsidRPr="00011018" w:rsidRDefault="00D01ED8">
      <w:pPr>
        <w:rPr>
          <w:color w:val="1C1C1C"/>
          <w:sz w:val="26"/>
          <w:szCs w:val="26"/>
        </w:rPr>
      </w:pPr>
      <w:r w:rsidRPr="00011018">
        <w:rPr>
          <w:color w:val="1C1C1C"/>
          <w:sz w:val="26"/>
          <w:szCs w:val="26"/>
        </w:rPr>
        <w:t>Fondateur et Président-directeur général,</w:t>
      </w:r>
    </w:p>
    <w:p w14:paraId="304945CF" w14:textId="77777777" w:rsidR="00D01ED8" w:rsidRPr="00011018" w:rsidRDefault="00D01ED8">
      <w:pPr>
        <w:rPr>
          <w:color w:val="000080"/>
        </w:rPr>
      </w:pPr>
      <w:r w:rsidRPr="00011018">
        <w:rPr>
          <w:color w:val="000080"/>
          <w:sz w:val="26"/>
          <w:szCs w:val="26"/>
        </w:rPr>
        <w:t>LES CLASSIQUES DES SCIENCES SOCIALES.</w:t>
      </w:r>
    </w:p>
    <w:p w14:paraId="0607D1B2" w14:textId="77777777" w:rsidR="00D01ED8" w:rsidRPr="00CF4C8E" w:rsidRDefault="00D01ED8" w:rsidP="00D01ED8">
      <w:pPr>
        <w:ind w:firstLine="0"/>
        <w:jc w:val="both"/>
        <w:rPr>
          <w:sz w:val="24"/>
          <w:lang w:bidi="ar-SA"/>
        </w:rPr>
      </w:pPr>
      <w:r w:rsidRPr="00011018">
        <w:br w:type="page"/>
      </w:r>
      <w:r w:rsidRPr="00CF4C8E">
        <w:rPr>
          <w:sz w:val="24"/>
          <w:lang w:bidi="ar-SA"/>
        </w:rPr>
        <w:lastRenderedPageBreak/>
        <w:t>Un document produit en version numérique par Jean-Marie Tremblay, bénévole, professeur associé, Université du Québec à Chicoutimi</w:t>
      </w:r>
    </w:p>
    <w:p w14:paraId="750455AE" w14:textId="77777777" w:rsidR="00D01ED8" w:rsidRPr="00CF4C8E" w:rsidRDefault="00D01ED8" w:rsidP="00D01ED8">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257E102" w14:textId="77777777" w:rsidR="00D01ED8" w:rsidRPr="00CF4C8E" w:rsidRDefault="00D01ED8" w:rsidP="00D01ED8">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05FD9AD" w14:textId="77777777" w:rsidR="00D01ED8" w:rsidRPr="00CF4C8E" w:rsidRDefault="00D01ED8" w:rsidP="00D01ED8">
      <w:pPr>
        <w:ind w:left="20" w:hanging="20"/>
        <w:jc w:val="both"/>
        <w:rPr>
          <w:sz w:val="24"/>
        </w:rPr>
      </w:pPr>
      <w:r w:rsidRPr="00CF4C8E">
        <w:rPr>
          <w:sz w:val="24"/>
        </w:rPr>
        <w:t>à partir du texte de :</w:t>
      </w:r>
    </w:p>
    <w:p w14:paraId="382E946B" w14:textId="77777777" w:rsidR="00D01ED8" w:rsidRPr="00011018" w:rsidRDefault="00D01ED8" w:rsidP="00D01ED8">
      <w:pPr>
        <w:ind w:firstLine="0"/>
        <w:rPr>
          <w:sz w:val="24"/>
        </w:rPr>
      </w:pPr>
    </w:p>
    <w:p w14:paraId="6E00AD27" w14:textId="77777777" w:rsidR="00D01ED8" w:rsidRPr="00011018" w:rsidRDefault="00D01ED8" w:rsidP="00D01ED8">
      <w:pPr>
        <w:ind w:left="20"/>
        <w:jc w:val="both"/>
        <w:rPr>
          <w:sz w:val="24"/>
        </w:rPr>
      </w:pPr>
    </w:p>
    <w:p w14:paraId="2AFF9AAB" w14:textId="77777777" w:rsidR="00D01ED8" w:rsidRDefault="00D01ED8" w:rsidP="00D01ED8">
      <w:pPr>
        <w:ind w:firstLine="0"/>
        <w:jc w:val="both"/>
      </w:pPr>
      <w:r>
        <w:t>Jacques-Yvan Morin,</w:t>
      </w:r>
    </w:p>
    <w:p w14:paraId="2ADD625F" w14:textId="77777777" w:rsidR="00D01ED8" w:rsidRDefault="00D01ED8" w:rsidP="00D01ED8">
      <w:pPr>
        <w:ind w:firstLine="0"/>
        <w:jc w:val="both"/>
      </w:pPr>
    </w:p>
    <w:p w14:paraId="0A139E99" w14:textId="77777777" w:rsidR="00D01ED8" w:rsidRPr="008F250D" w:rsidRDefault="00D01ED8" w:rsidP="00D01ED8">
      <w:pPr>
        <w:ind w:firstLine="0"/>
        <w:jc w:val="both"/>
      </w:pPr>
      <w:r w:rsidRPr="008F250D">
        <w:t>“</w:t>
      </w:r>
      <w:r w:rsidRPr="008F250D">
        <w:rPr>
          <w:b/>
          <w:i/>
          <w:color w:val="0000FF"/>
        </w:rPr>
        <w:t>Le</w:t>
      </w:r>
      <w:r>
        <w:rPr>
          <w:b/>
          <w:i/>
          <w:color w:val="0000FF"/>
        </w:rPr>
        <w:t xml:space="preserve"> droit public</w:t>
      </w:r>
      <w:r w:rsidRPr="008F250D">
        <w:t>.”</w:t>
      </w:r>
    </w:p>
    <w:p w14:paraId="2DB7FD05" w14:textId="77777777" w:rsidR="00D01ED8" w:rsidRDefault="00D01ED8" w:rsidP="00D01ED8">
      <w:pPr>
        <w:ind w:firstLine="0"/>
        <w:jc w:val="both"/>
      </w:pPr>
    </w:p>
    <w:p w14:paraId="06726D74" w14:textId="77777777" w:rsidR="00D01ED8" w:rsidRPr="00011018" w:rsidRDefault="00D01ED8" w:rsidP="00D01ED8">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199-214. Actes du Coll</w:t>
      </w:r>
      <w:r>
        <w:t>o</w:t>
      </w:r>
      <w:r>
        <w:t>que du 50e anniversaire de la Faculté des sciences s</w:t>
      </w:r>
      <w:r>
        <w:t>o</w:t>
      </w:r>
      <w:r>
        <w:t>ciales de l’Université Laval, 12-14 octobre 1988. Québec : Les Presses de l’Université L</w:t>
      </w:r>
      <w:r>
        <w:t>a</w:t>
      </w:r>
      <w:r>
        <w:t xml:space="preserve">val, 1990, 330 pp. </w:t>
      </w:r>
    </w:p>
    <w:p w14:paraId="6EDDBD4D" w14:textId="77777777" w:rsidR="00D01ED8" w:rsidRDefault="00D01ED8">
      <w:pPr>
        <w:ind w:right="360"/>
        <w:jc w:val="both"/>
        <w:rPr>
          <w:sz w:val="24"/>
        </w:rPr>
      </w:pPr>
    </w:p>
    <w:p w14:paraId="4BB41BB9" w14:textId="77777777" w:rsidR="00D01ED8" w:rsidRPr="00011018" w:rsidRDefault="00D01ED8">
      <w:pPr>
        <w:ind w:right="360"/>
        <w:jc w:val="both"/>
        <w:rPr>
          <w:sz w:val="24"/>
        </w:rPr>
      </w:pPr>
    </w:p>
    <w:p w14:paraId="57985FA6" w14:textId="77777777" w:rsidR="00D01ED8" w:rsidRPr="00011018" w:rsidRDefault="00D01ED8" w:rsidP="00D01ED8">
      <w:pPr>
        <w:jc w:val="both"/>
        <w:rPr>
          <w:sz w:val="24"/>
        </w:rPr>
      </w:pPr>
      <w:r>
        <w:t>M. Vincent Lemieux, professeur à la retraite de l'enseignement, au département de science politique de l'Université Laval, nous a autorisé le 13 août 2004 à diffuser la totalité de ses œuvres.</w:t>
      </w:r>
    </w:p>
    <w:p w14:paraId="0B9A3C2C" w14:textId="77777777" w:rsidR="00D01ED8" w:rsidRPr="00011018" w:rsidRDefault="00D01ED8">
      <w:pPr>
        <w:ind w:right="1800"/>
        <w:jc w:val="both"/>
        <w:rPr>
          <w:sz w:val="24"/>
        </w:rPr>
      </w:pPr>
    </w:p>
    <w:p w14:paraId="370327CC" w14:textId="77777777" w:rsidR="00D01ED8" w:rsidRPr="00011018" w:rsidRDefault="00D01ED8">
      <w:pPr>
        <w:ind w:right="1800"/>
        <w:jc w:val="both"/>
        <w:rPr>
          <w:sz w:val="24"/>
        </w:rPr>
      </w:pPr>
    </w:p>
    <w:p w14:paraId="0F1A7F59" w14:textId="77777777" w:rsidR="00D01ED8" w:rsidRPr="00011018" w:rsidRDefault="00D01ED8">
      <w:pPr>
        <w:ind w:right="1800" w:firstLine="0"/>
        <w:jc w:val="both"/>
        <w:rPr>
          <w:sz w:val="24"/>
        </w:rPr>
      </w:pPr>
      <w:r>
        <w:rPr>
          <w:sz w:val="24"/>
        </w:rPr>
        <w:t>Police de caractères utilisés</w:t>
      </w:r>
      <w:r w:rsidRPr="00011018">
        <w:rPr>
          <w:sz w:val="24"/>
        </w:rPr>
        <w:t> :</w:t>
      </w:r>
    </w:p>
    <w:p w14:paraId="069442B1" w14:textId="77777777" w:rsidR="00D01ED8" w:rsidRPr="00011018" w:rsidRDefault="00D01ED8">
      <w:pPr>
        <w:ind w:right="1800" w:firstLine="0"/>
        <w:jc w:val="both"/>
        <w:rPr>
          <w:sz w:val="24"/>
        </w:rPr>
      </w:pPr>
    </w:p>
    <w:p w14:paraId="00CF2D1D" w14:textId="77777777" w:rsidR="00D01ED8" w:rsidRPr="00011018" w:rsidRDefault="00D01ED8" w:rsidP="00D01ED8">
      <w:pPr>
        <w:ind w:left="360" w:right="360" w:firstLine="0"/>
        <w:jc w:val="both"/>
        <w:rPr>
          <w:sz w:val="24"/>
        </w:rPr>
      </w:pPr>
      <w:r w:rsidRPr="00011018">
        <w:rPr>
          <w:sz w:val="24"/>
        </w:rPr>
        <w:t>Pour le texte: Times New Roman, 14 points.</w:t>
      </w:r>
    </w:p>
    <w:p w14:paraId="2702567A" w14:textId="77777777" w:rsidR="00D01ED8" w:rsidRPr="00011018" w:rsidRDefault="00D01ED8" w:rsidP="00D01ED8">
      <w:pPr>
        <w:ind w:left="360" w:right="360" w:firstLine="0"/>
        <w:jc w:val="both"/>
        <w:rPr>
          <w:sz w:val="24"/>
        </w:rPr>
      </w:pPr>
      <w:r w:rsidRPr="00011018">
        <w:rPr>
          <w:sz w:val="24"/>
        </w:rPr>
        <w:t>Pour les citations : Times New Roman 12 points.</w:t>
      </w:r>
    </w:p>
    <w:p w14:paraId="1FBC4EDB" w14:textId="77777777" w:rsidR="00D01ED8" w:rsidRPr="00011018" w:rsidRDefault="00D01ED8" w:rsidP="00D01ED8">
      <w:pPr>
        <w:ind w:left="360" w:right="360" w:firstLine="0"/>
        <w:jc w:val="both"/>
        <w:rPr>
          <w:sz w:val="24"/>
        </w:rPr>
      </w:pPr>
      <w:r w:rsidRPr="00011018">
        <w:rPr>
          <w:sz w:val="24"/>
        </w:rPr>
        <w:t>Pour les notes de bas de page : Times New Roman, 12 points.</w:t>
      </w:r>
    </w:p>
    <w:p w14:paraId="1629DFF2" w14:textId="77777777" w:rsidR="00D01ED8" w:rsidRPr="00011018" w:rsidRDefault="00D01ED8" w:rsidP="00D01ED8">
      <w:pPr>
        <w:ind w:left="360" w:right="360" w:firstLine="0"/>
        <w:jc w:val="both"/>
        <w:rPr>
          <w:sz w:val="24"/>
        </w:rPr>
      </w:pPr>
    </w:p>
    <w:p w14:paraId="5F810178" w14:textId="77777777" w:rsidR="00D01ED8" w:rsidRPr="00011018" w:rsidRDefault="00D01ED8" w:rsidP="00D01ED8">
      <w:pPr>
        <w:ind w:right="360" w:firstLine="0"/>
        <w:jc w:val="both"/>
        <w:rPr>
          <w:sz w:val="24"/>
        </w:rPr>
      </w:pPr>
      <w:r w:rsidRPr="00011018">
        <w:rPr>
          <w:sz w:val="24"/>
        </w:rPr>
        <w:t>Édition électronique réalisée avec le traitement de textes Microsoft Word 2001 pour Macintosh.</w:t>
      </w:r>
    </w:p>
    <w:p w14:paraId="732243C7" w14:textId="77777777" w:rsidR="00D01ED8" w:rsidRPr="00011018" w:rsidRDefault="00D01ED8" w:rsidP="00D01ED8">
      <w:pPr>
        <w:ind w:right="360" w:firstLine="0"/>
        <w:jc w:val="both"/>
        <w:rPr>
          <w:sz w:val="24"/>
        </w:rPr>
      </w:pPr>
    </w:p>
    <w:p w14:paraId="048F1019" w14:textId="77777777" w:rsidR="00D01ED8" w:rsidRPr="00011018" w:rsidRDefault="00D01ED8" w:rsidP="00D01ED8">
      <w:pPr>
        <w:ind w:right="360" w:firstLine="0"/>
        <w:jc w:val="both"/>
        <w:rPr>
          <w:sz w:val="24"/>
        </w:rPr>
      </w:pPr>
      <w:r w:rsidRPr="00011018">
        <w:rPr>
          <w:sz w:val="24"/>
        </w:rPr>
        <w:t>Mise en page sur papier format : LETTRE US, 8.5’’ x 11’’</w:t>
      </w:r>
    </w:p>
    <w:p w14:paraId="7F694AA5" w14:textId="77777777" w:rsidR="00D01ED8" w:rsidRPr="00011018" w:rsidRDefault="00D01ED8" w:rsidP="00D01ED8">
      <w:pPr>
        <w:ind w:right="360" w:firstLine="0"/>
        <w:jc w:val="both"/>
        <w:rPr>
          <w:sz w:val="24"/>
        </w:rPr>
      </w:pPr>
    </w:p>
    <w:p w14:paraId="0561ABA8" w14:textId="77777777" w:rsidR="00D01ED8" w:rsidRPr="00011018" w:rsidRDefault="00D01ED8" w:rsidP="00D01ED8">
      <w:pPr>
        <w:ind w:right="360" w:firstLine="0"/>
        <w:jc w:val="both"/>
        <w:rPr>
          <w:sz w:val="24"/>
        </w:rPr>
      </w:pPr>
      <w:r w:rsidRPr="00011018">
        <w:rPr>
          <w:sz w:val="24"/>
        </w:rPr>
        <w:t xml:space="preserve">Édition numérique réalisée </w:t>
      </w:r>
      <w:r>
        <w:rPr>
          <w:sz w:val="24"/>
        </w:rPr>
        <w:t xml:space="preserve"> samedi </w:t>
      </w:r>
      <w:r w:rsidRPr="00011018">
        <w:rPr>
          <w:sz w:val="24"/>
        </w:rPr>
        <w:t xml:space="preserve">le </w:t>
      </w:r>
      <w:r>
        <w:rPr>
          <w:sz w:val="24"/>
        </w:rPr>
        <w:t>7 janvier 2023</w:t>
      </w:r>
      <w:r w:rsidRPr="00011018">
        <w:rPr>
          <w:sz w:val="24"/>
        </w:rPr>
        <w:t xml:space="preserve"> à Chicoutimi, Québec.</w:t>
      </w:r>
      <w:r>
        <w:rPr>
          <w:sz w:val="24"/>
        </w:rPr>
        <w:t xml:space="preserve"> C’est le jour où notre petite sœur aura décédé à 11h 30 avec l’aide à mourir, après seulement quelques mois à la retraite.</w:t>
      </w:r>
    </w:p>
    <w:p w14:paraId="0F030E7F" w14:textId="77777777" w:rsidR="00D01ED8" w:rsidRPr="00011018" w:rsidRDefault="00D01ED8">
      <w:pPr>
        <w:ind w:right="1800" w:firstLine="0"/>
        <w:jc w:val="both"/>
        <w:rPr>
          <w:sz w:val="22"/>
        </w:rPr>
      </w:pPr>
    </w:p>
    <w:p w14:paraId="034FD60A" w14:textId="77777777" w:rsidR="00D01ED8" w:rsidRPr="00011018" w:rsidRDefault="002C6C3B">
      <w:pPr>
        <w:ind w:right="1800" w:firstLine="0"/>
        <w:jc w:val="both"/>
      </w:pPr>
      <w:r w:rsidRPr="00011018">
        <w:rPr>
          <w:noProof/>
        </w:rPr>
        <w:drawing>
          <wp:inline distT="0" distB="0" distL="0" distR="0" wp14:anchorId="37B5B161" wp14:editId="50629FAB">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8D2DE14" w14:textId="77777777" w:rsidR="00D01ED8" w:rsidRDefault="00D01ED8" w:rsidP="00D01ED8">
      <w:pPr>
        <w:ind w:left="20"/>
        <w:jc w:val="both"/>
      </w:pPr>
      <w:r w:rsidRPr="00011018">
        <w:br w:type="page"/>
      </w:r>
    </w:p>
    <w:p w14:paraId="3C9E71B2" w14:textId="77777777" w:rsidR="00D01ED8" w:rsidRPr="00011018" w:rsidRDefault="00D01ED8" w:rsidP="00D01ED8">
      <w:pPr>
        <w:ind w:left="20"/>
        <w:jc w:val="both"/>
      </w:pPr>
    </w:p>
    <w:p w14:paraId="257C8EA2" w14:textId="77777777" w:rsidR="00D01ED8" w:rsidRPr="00011018" w:rsidRDefault="00D01ED8" w:rsidP="00D01ED8">
      <w:pPr>
        <w:ind w:firstLine="0"/>
        <w:jc w:val="center"/>
        <w:rPr>
          <w:b/>
          <w:sz w:val="36"/>
          <w:lang w:bidi="ar-SA"/>
        </w:rPr>
      </w:pPr>
      <w:r>
        <w:rPr>
          <w:sz w:val="36"/>
          <w:lang w:bidi="ar-SA"/>
        </w:rPr>
        <w:t>Jacques-Yvan Morin</w:t>
      </w:r>
    </w:p>
    <w:p w14:paraId="3678B5F1" w14:textId="77777777" w:rsidR="00D01ED8" w:rsidRDefault="00D01ED8" w:rsidP="00D01ED8">
      <w:pPr>
        <w:ind w:firstLine="0"/>
        <w:jc w:val="center"/>
        <w:rPr>
          <w:sz w:val="20"/>
          <w:lang w:bidi="ar-SA"/>
        </w:rPr>
      </w:pPr>
      <w:r w:rsidRPr="00D43D86">
        <w:rPr>
          <w:sz w:val="20"/>
          <w:lang w:bidi="ar-SA"/>
        </w:rPr>
        <w:t>professeur, Faculté de droit, Université de Montréal.</w:t>
      </w:r>
    </w:p>
    <w:p w14:paraId="4FE8B744" w14:textId="77777777" w:rsidR="00D01ED8" w:rsidRPr="00011018" w:rsidRDefault="00D01ED8" w:rsidP="00D01ED8">
      <w:pPr>
        <w:ind w:firstLine="0"/>
        <w:jc w:val="center"/>
      </w:pPr>
    </w:p>
    <w:p w14:paraId="2DCB87F1" w14:textId="77777777" w:rsidR="00D01ED8" w:rsidRPr="001373CE" w:rsidRDefault="00D01ED8" w:rsidP="00D01ED8">
      <w:pPr>
        <w:ind w:firstLine="0"/>
        <w:jc w:val="center"/>
        <w:rPr>
          <w:color w:val="000080"/>
          <w:sz w:val="36"/>
        </w:rPr>
      </w:pPr>
      <w:r w:rsidRPr="008F250D">
        <w:rPr>
          <w:color w:val="000080"/>
          <w:sz w:val="36"/>
        </w:rPr>
        <w:t>“</w:t>
      </w:r>
      <w:r>
        <w:rPr>
          <w:color w:val="000080"/>
          <w:sz w:val="36"/>
        </w:rPr>
        <w:t>Le droit public</w:t>
      </w:r>
      <w:r w:rsidRPr="008F250D">
        <w:rPr>
          <w:color w:val="000080"/>
          <w:sz w:val="36"/>
        </w:rPr>
        <w:t>.”</w:t>
      </w:r>
    </w:p>
    <w:p w14:paraId="742AF307" w14:textId="77777777" w:rsidR="00D01ED8" w:rsidRDefault="00D01ED8" w:rsidP="00D01ED8">
      <w:pPr>
        <w:ind w:firstLine="0"/>
        <w:jc w:val="center"/>
      </w:pPr>
    </w:p>
    <w:p w14:paraId="2EBA4283" w14:textId="77777777" w:rsidR="00D01ED8" w:rsidRPr="00011018" w:rsidRDefault="002C6C3B" w:rsidP="00D01ED8">
      <w:pPr>
        <w:ind w:firstLine="0"/>
        <w:jc w:val="center"/>
      </w:pPr>
      <w:r>
        <w:rPr>
          <w:noProof/>
        </w:rPr>
        <w:drawing>
          <wp:inline distT="0" distB="0" distL="0" distR="0" wp14:anchorId="72943D42" wp14:editId="3BFEFA86">
            <wp:extent cx="2730500" cy="41021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0" cy="4102100"/>
                    </a:xfrm>
                    <a:prstGeom prst="rect">
                      <a:avLst/>
                    </a:prstGeom>
                    <a:noFill/>
                    <a:ln w="19050" cmpd="sng">
                      <a:solidFill>
                        <a:srgbClr val="000000"/>
                      </a:solidFill>
                      <a:miter lim="800000"/>
                      <a:headEnd/>
                      <a:tailEnd/>
                    </a:ln>
                    <a:effectLst/>
                  </pic:spPr>
                </pic:pic>
              </a:graphicData>
            </a:graphic>
          </wp:inline>
        </w:drawing>
      </w:r>
    </w:p>
    <w:p w14:paraId="3A9675E1" w14:textId="77777777" w:rsidR="00D01ED8" w:rsidRPr="00011018" w:rsidRDefault="00D01ED8" w:rsidP="00D01ED8">
      <w:pPr>
        <w:ind w:firstLine="0"/>
        <w:jc w:val="center"/>
      </w:pPr>
    </w:p>
    <w:p w14:paraId="39350DDC" w14:textId="77777777" w:rsidR="00D01ED8" w:rsidRPr="00011018" w:rsidRDefault="00D01ED8" w:rsidP="00D01ED8">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199-214. Actes du Coll</w:t>
      </w:r>
      <w:r>
        <w:t>o</w:t>
      </w:r>
      <w:r>
        <w:t>que du 50e anniversaire de la Faculté des sciences s</w:t>
      </w:r>
      <w:r>
        <w:t>o</w:t>
      </w:r>
      <w:r>
        <w:t>ciales de l’Université Laval, 12-14 octobre 1988. Québec : Les Presses de l’Université L</w:t>
      </w:r>
      <w:r>
        <w:t>a</w:t>
      </w:r>
      <w:r>
        <w:t xml:space="preserve">val, 1990, 330 pp. </w:t>
      </w:r>
    </w:p>
    <w:p w14:paraId="43617196" w14:textId="77777777" w:rsidR="00D01ED8" w:rsidRPr="00011018" w:rsidRDefault="00D01ED8" w:rsidP="00D01ED8">
      <w:pPr>
        <w:jc w:val="both"/>
      </w:pPr>
      <w:r w:rsidRPr="00011018">
        <w:br w:type="page"/>
      </w:r>
    </w:p>
    <w:p w14:paraId="0C4F57F8" w14:textId="77777777" w:rsidR="00D01ED8" w:rsidRPr="00011018" w:rsidRDefault="00D01ED8" w:rsidP="00D01ED8">
      <w:pPr>
        <w:jc w:val="both"/>
      </w:pPr>
    </w:p>
    <w:p w14:paraId="5AEE7BB7" w14:textId="77777777" w:rsidR="00D01ED8" w:rsidRPr="00011018" w:rsidRDefault="00D01ED8" w:rsidP="00D01ED8">
      <w:pPr>
        <w:jc w:val="both"/>
      </w:pPr>
    </w:p>
    <w:p w14:paraId="0A0D0548" w14:textId="77777777" w:rsidR="00D01ED8" w:rsidRPr="00011018" w:rsidRDefault="00D01ED8" w:rsidP="00D01ED8">
      <w:pPr>
        <w:jc w:val="both"/>
      </w:pPr>
    </w:p>
    <w:p w14:paraId="309060EA" w14:textId="77777777" w:rsidR="00D01ED8" w:rsidRPr="00011018" w:rsidRDefault="00D01ED8" w:rsidP="00D01ED8">
      <w:pPr>
        <w:jc w:val="both"/>
      </w:pPr>
    </w:p>
    <w:p w14:paraId="2DE2CEF8" w14:textId="77777777" w:rsidR="00D01ED8" w:rsidRPr="00011018" w:rsidRDefault="00D01ED8" w:rsidP="00D01ED8">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712AD163" w14:textId="77777777" w:rsidR="00D01ED8" w:rsidRPr="00011018" w:rsidRDefault="00D01ED8" w:rsidP="00D01ED8">
      <w:pPr>
        <w:pStyle w:val="NormalWeb"/>
        <w:spacing w:before="2" w:after="2"/>
        <w:jc w:val="both"/>
        <w:rPr>
          <w:rFonts w:ascii="Times New Roman" w:hAnsi="Times New Roman"/>
          <w:sz w:val="28"/>
        </w:rPr>
      </w:pPr>
    </w:p>
    <w:p w14:paraId="12AFC63E" w14:textId="77777777" w:rsidR="00D01ED8" w:rsidRPr="00011018" w:rsidRDefault="00D01ED8" w:rsidP="00D01ED8">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7C54F4FD" w14:textId="77777777" w:rsidR="00D01ED8" w:rsidRPr="00011018" w:rsidRDefault="00D01ED8" w:rsidP="00D01ED8">
      <w:pPr>
        <w:jc w:val="both"/>
        <w:rPr>
          <w:szCs w:val="19"/>
        </w:rPr>
      </w:pPr>
    </w:p>
    <w:p w14:paraId="62477E27" w14:textId="77777777" w:rsidR="00D01ED8" w:rsidRPr="00011018" w:rsidRDefault="00D01ED8" w:rsidP="00D01ED8">
      <w:pPr>
        <w:jc w:val="both"/>
        <w:rPr>
          <w:szCs w:val="19"/>
        </w:rPr>
      </w:pPr>
    </w:p>
    <w:p w14:paraId="6BBF7BE7" w14:textId="77777777" w:rsidR="00D01ED8" w:rsidRDefault="00D01ED8" w:rsidP="00D01ED8">
      <w:pPr>
        <w:spacing w:before="120" w:after="120"/>
        <w:ind w:firstLine="0"/>
        <w:jc w:val="both"/>
        <w:rPr>
          <w:rFonts w:eastAsia="Courier New"/>
          <w:lang w:eastAsia="fr-FR" w:bidi="fr-FR"/>
        </w:rPr>
      </w:pPr>
      <w:r>
        <w:br w:type="page"/>
      </w:r>
      <w:r>
        <w:rPr>
          <w:rFonts w:eastAsia="Courier New"/>
          <w:lang w:eastAsia="fr-FR" w:bidi="fr-FR"/>
        </w:rPr>
        <w:lastRenderedPageBreak/>
        <w:t>[199]</w:t>
      </w:r>
    </w:p>
    <w:p w14:paraId="2C012FAD" w14:textId="77777777" w:rsidR="00D01ED8" w:rsidRPr="00E07116" w:rsidRDefault="00D01ED8" w:rsidP="00D01ED8">
      <w:pPr>
        <w:jc w:val="both"/>
      </w:pPr>
    </w:p>
    <w:p w14:paraId="448EC2E9" w14:textId="77777777" w:rsidR="00D01ED8" w:rsidRDefault="00D01ED8" w:rsidP="00D01ED8">
      <w:pPr>
        <w:jc w:val="both"/>
      </w:pPr>
    </w:p>
    <w:p w14:paraId="33D82DED" w14:textId="77777777" w:rsidR="00D01ED8" w:rsidRPr="00E07116" w:rsidRDefault="00D01ED8" w:rsidP="00D01ED8">
      <w:pPr>
        <w:jc w:val="both"/>
      </w:pPr>
    </w:p>
    <w:p w14:paraId="0766A94E" w14:textId="77777777" w:rsidR="00D01ED8" w:rsidRPr="00F54CC7" w:rsidRDefault="00D01ED8" w:rsidP="00D01ED8">
      <w:pPr>
        <w:spacing w:after="120"/>
        <w:ind w:firstLine="0"/>
        <w:jc w:val="center"/>
        <w:rPr>
          <w:sz w:val="24"/>
        </w:rPr>
      </w:pPr>
      <w:bookmarkStart w:id="0" w:name="Institutions_qc_pt_7_texte_01"/>
      <w:r>
        <w:rPr>
          <w:b/>
          <w:sz w:val="24"/>
        </w:rPr>
        <w:t>Les institutions québécoises :</w:t>
      </w:r>
      <w:r>
        <w:rPr>
          <w:b/>
          <w:sz w:val="24"/>
        </w:rPr>
        <w:br/>
      </w:r>
      <w:r w:rsidRPr="001373CE">
        <w:rPr>
          <w:b/>
          <w:sz w:val="24"/>
        </w:rPr>
        <w:t>leur rôle et leur avenir.</w:t>
      </w:r>
    </w:p>
    <w:p w14:paraId="0879BE66" w14:textId="77777777" w:rsidR="00D01ED8" w:rsidRPr="00384B20" w:rsidRDefault="00D01ED8" w:rsidP="00D01ED8">
      <w:pPr>
        <w:ind w:firstLine="0"/>
        <w:jc w:val="center"/>
        <w:rPr>
          <w:color w:val="000080"/>
          <w:sz w:val="24"/>
        </w:rPr>
      </w:pPr>
      <w:r>
        <w:rPr>
          <w:b/>
          <w:color w:val="FF0000"/>
          <w:sz w:val="24"/>
          <w:u w:val="single"/>
        </w:rPr>
        <w:t>LE DROIT</w:t>
      </w:r>
    </w:p>
    <w:p w14:paraId="418A1736" w14:textId="77777777" w:rsidR="00D01ED8" w:rsidRPr="00E07116" w:rsidRDefault="00D01ED8" w:rsidP="00D01ED8">
      <w:pPr>
        <w:jc w:val="both"/>
        <w:rPr>
          <w:szCs w:val="36"/>
        </w:rPr>
      </w:pPr>
    </w:p>
    <w:p w14:paraId="69A94962" w14:textId="77777777" w:rsidR="00D01ED8" w:rsidRPr="00A92CD7" w:rsidRDefault="00D01ED8" w:rsidP="00D01ED8">
      <w:pPr>
        <w:ind w:firstLine="0"/>
        <w:jc w:val="center"/>
        <w:rPr>
          <w:sz w:val="48"/>
        </w:rPr>
      </w:pPr>
      <w:r>
        <w:rPr>
          <w:i/>
          <w:iCs/>
          <w:sz w:val="48"/>
        </w:rPr>
        <w:t>Le droit public</w:t>
      </w:r>
    </w:p>
    <w:bookmarkEnd w:id="0"/>
    <w:p w14:paraId="1E711B7B" w14:textId="77777777" w:rsidR="00D01ED8" w:rsidRDefault="00D01ED8" w:rsidP="00D01ED8">
      <w:pPr>
        <w:jc w:val="both"/>
      </w:pPr>
    </w:p>
    <w:p w14:paraId="74380038" w14:textId="77777777" w:rsidR="00D01ED8" w:rsidRPr="00E07116" w:rsidRDefault="00D01ED8" w:rsidP="00D01ED8">
      <w:pPr>
        <w:jc w:val="both"/>
      </w:pPr>
    </w:p>
    <w:p w14:paraId="236D4993" w14:textId="77777777" w:rsidR="00D01ED8" w:rsidRDefault="00D01ED8" w:rsidP="00D01ED8">
      <w:pPr>
        <w:pStyle w:val="suite"/>
      </w:pPr>
      <w:r>
        <w:t>Jacques-Yvan MORIN</w:t>
      </w:r>
    </w:p>
    <w:p w14:paraId="32AC4F2A" w14:textId="77777777" w:rsidR="00D01ED8" w:rsidRPr="00E07116" w:rsidRDefault="00D01ED8" w:rsidP="00D01ED8">
      <w:pPr>
        <w:pStyle w:val="suitest"/>
      </w:pPr>
      <w:r w:rsidRPr="0059140C">
        <w:t>professeur, Faculté de droit, Unive</w:t>
      </w:r>
      <w:r w:rsidRPr="0059140C">
        <w:t>r</w:t>
      </w:r>
      <w:r w:rsidRPr="0059140C">
        <w:t>sité de Montréal.</w:t>
      </w:r>
    </w:p>
    <w:p w14:paraId="1765D208" w14:textId="77777777" w:rsidR="00D01ED8" w:rsidRDefault="00D01ED8" w:rsidP="00D01ED8">
      <w:pPr>
        <w:jc w:val="both"/>
      </w:pPr>
    </w:p>
    <w:p w14:paraId="3837333B" w14:textId="77777777" w:rsidR="00D01ED8" w:rsidRDefault="00D01ED8" w:rsidP="00D01ED8">
      <w:pPr>
        <w:jc w:val="both"/>
      </w:pPr>
    </w:p>
    <w:p w14:paraId="38B52C5C" w14:textId="77777777" w:rsidR="00D01ED8" w:rsidRDefault="00D01ED8" w:rsidP="00D01ED8">
      <w:pPr>
        <w:jc w:val="both"/>
      </w:pPr>
    </w:p>
    <w:p w14:paraId="19739BAB" w14:textId="77777777" w:rsidR="00D01ED8" w:rsidRPr="00E07116" w:rsidRDefault="00D01ED8" w:rsidP="00D01ED8">
      <w:pPr>
        <w:jc w:val="both"/>
      </w:pPr>
    </w:p>
    <w:p w14:paraId="0327A539" w14:textId="77777777" w:rsidR="00D01ED8" w:rsidRPr="00DB6FFA" w:rsidRDefault="00D01ED8" w:rsidP="00D01ED8">
      <w:pPr>
        <w:spacing w:before="120" w:after="120"/>
        <w:jc w:val="both"/>
      </w:pPr>
      <w:r w:rsidRPr="00DB6FFA">
        <w:rPr>
          <w:lang w:eastAsia="fr-FR" w:bidi="fr-FR"/>
        </w:rPr>
        <w:t>Que le droit soit une discipline relevant des sciences sociales n’est pas encore une idée communément admise dans la profession, just</w:t>
      </w:r>
      <w:r w:rsidRPr="00DB6FFA">
        <w:rPr>
          <w:lang w:eastAsia="fr-FR" w:bidi="fr-FR"/>
        </w:rPr>
        <w:t>e</w:t>
      </w:r>
      <w:r w:rsidRPr="00DB6FFA">
        <w:rPr>
          <w:lang w:eastAsia="fr-FR" w:bidi="fr-FR"/>
        </w:rPr>
        <w:t>ment parce que l’aspect professionnel l’emporta longtemps sur le scientifique, comme si la synthèse juridique - car le droit est une di</w:t>
      </w:r>
      <w:r w:rsidRPr="00DB6FFA">
        <w:rPr>
          <w:lang w:eastAsia="fr-FR" w:bidi="fr-FR"/>
        </w:rPr>
        <w:t>s</w:t>
      </w:r>
      <w:r w:rsidRPr="00DB6FFA">
        <w:rPr>
          <w:lang w:eastAsia="fr-FR" w:bidi="fr-FR"/>
        </w:rPr>
        <w:t>cipline de synthèse - pouvait préc</w:t>
      </w:r>
      <w:r w:rsidRPr="00DB6FFA">
        <w:rPr>
          <w:lang w:eastAsia="fr-FR" w:bidi="fr-FR"/>
        </w:rPr>
        <w:t>é</w:t>
      </w:r>
      <w:r w:rsidRPr="00DB6FFA">
        <w:rPr>
          <w:lang w:eastAsia="fr-FR" w:bidi="fr-FR"/>
        </w:rPr>
        <w:t>der impunément l’analyse des faits sociaux qui le sous-tendent. Aussi faut-il se réjouir tout particulièr</w:t>
      </w:r>
      <w:r w:rsidRPr="00DB6FFA">
        <w:rPr>
          <w:lang w:eastAsia="fr-FR" w:bidi="fr-FR"/>
        </w:rPr>
        <w:t>e</w:t>
      </w:r>
      <w:r w:rsidRPr="00DB6FFA">
        <w:rPr>
          <w:lang w:eastAsia="fr-FR" w:bidi="fr-FR"/>
        </w:rPr>
        <w:t>ment de voir figurer le droit parmi les a</w:t>
      </w:r>
      <w:r w:rsidRPr="00DB6FFA">
        <w:rPr>
          <w:lang w:eastAsia="fr-FR" w:bidi="fr-FR"/>
        </w:rPr>
        <w:t>s</w:t>
      </w:r>
      <w:r w:rsidRPr="00DB6FFA">
        <w:rPr>
          <w:lang w:eastAsia="fr-FR" w:bidi="fr-FR"/>
        </w:rPr>
        <w:t>pects de notre vie sociale qui méritent de retenir l’attention.</w:t>
      </w:r>
    </w:p>
    <w:p w14:paraId="22FA34BB" w14:textId="77777777" w:rsidR="00D01ED8" w:rsidRPr="00DB6FFA" w:rsidRDefault="00D01ED8" w:rsidP="00D01ED8">
      <w:pPr>
        <w:spacing w:before="120" w:after="120"/>
        <w:jc w:val="both"/>
      </w:pPr>
      <w:r w:rsidRPr="00DB6FFA">
        <w:rPr>
          <w:lang w:eastAsia="fr-FR" w:bidi="fr-FR"/>
        </w:rPr>
        <w:t>Certes, le sujet du colloque</w:t>
      </w:r>
      <w:r>
        <w:rPr>
          <w:lang w:eastAsia="fr-FR" w:bidi="fr-FR"/>
        </w:rPr>
        <w:t> :</w:t>
      </w:r>
      <w:r w:rsidRPr="00DB6FFA">
        <w:rPr>
          <w:lang w:eastAsia="fr-FR" w:bidi="fr-FR"/>
        </w:rPr>
        <w:t xml:space="preserve"> </w:t>
      </w:r>
      <w:r>
        <w:rPr>
          <w:lang w:eastAsia="fr-FR" w:bidi="fr-FR"/>
        </w:rPr>
        <w:t>« </w:t>
      </w:r>
      <w:r w:rsidRPr="00DB6FFA">
        <w:rPr>
          <w:lang w:eastAsia="fr-FR" w:bidi="fr-FR"/>
        </w:rPr>
        <w:t>Nos institutions</w:t>
      </w:r>
      <w:r>
        <w:rPr>
          <w:lang w:eastAsia="fr-FR" w:bidi="fr-FR"/>
        </w:rPr>
        <w:t> :</w:t>
      </w:r>
      <w:r w:rsidRPr="00DB6FFA">
        <w:rPr>
          <w:lang w:eastAsia="fr-FR" w:bidi="fr-FR"/>
        </w:rPr>
        <w:t xml:space="preserve"> leur rôle, leur avenir</w:t>
      </w:r>
      <w:r>
        <w:rPr>
          <w:lang w:eastAsia="fr-FR" w:bidi="fr-FR"/>
        </w:rPr>
        <w:t> »</w:t>
      </w:r>
      <w:r w:rsidRPr="00DB6FFA">
        <w:rPr>
          <w:lang w:eastAsia="fr-FR" w:bidi="fr-FR"/>
        </w:rPr>
        <w:t>, s’y prête quelque peu. En effet, comment parler des instit</w:t>
      </w:r>
      <w:r w:rsidRPr="00DB6FFA">
        <w:rPr>
          <w:lang w:eastAsia="fr-FR" w:bidi="fr-FR"/>
        </w:rPr>
        <w:t>u</w:t>
      </w:r>
      <w:r w:rsidRPr="00DB6FFA">
        <w:rPr>
          <w:lang w:eastAsia="fr-FR" w:bidi="fr-FR"/>
        </w:rPr>
        <w:t>tions d’une société, de ce système d’encadrement social et des valeurs ou finalités qui le fondent, sans toucher au domaine des normes, ab</w:t>
      </w:r>
      <w:r w:rsidRPr="00DB6FFA">
        <w:rPr>
          <w:lang w:eastAsia="fr-FR" w:bidi="fr-FR"/>
        </w:rPr>
        <w:t>s</w:t>
      </w:r>
      <w:r w:rsidRPr="00DB6FFA">
        <w:rPr>
          <w:lang w:eastAsia="fr-FR" w:bidi="fr-FR"/>
        </w:rPr>
        <w:t>tractions s’il en fut jamais, mais qui établissent, définissent et san</w:t>
      </w:r>
      <w:r w:rsidRPr="00DB6FFA">
        <w:rPr>
          <w:lang w:eastAsia="fr-FR" w:bidi="fr-FR"/>
        </w:rPr>
        <w:t>c</w:t>
      </w:r>
      <w:r w:rsidRPr="00DB6FFA">
        <w:rPr>
          <w:lang w:eastAsia="fr-FR" w:bidi="fr-FR"/>
        </w:rPr>
        <w:t>tionnent tout ce qui a trait au pouvoir et à l’ordre ainsi qu’aux droits, obligations et libertés de chacun dans toute forme de société, y co</w:t>
      </w:r>
      <w:r w:rsidRPr="00DB6FFA">
        <w:rPr>
          <w:lang w:eastAsia="fr-FR" w:bidi="fr-FR"/>
        </w:rPr>
        <w:t>m</w:t>
      </w:r>
      <w:r w:rsidRPr="00DB6FFA">
        <w:rPr>
          <w:lang w:eastAsia="fr-FR" w:bidi="fr-FR"/>
        </w:rPr>
        <w:t>pris celle qui nous est familière depuis que nous existons comme pe</w:t>
      </w:r>
      <w:r w:rsidRPr="00DB6FFA">
        <w:rPr>
          <w:lang w:eastAsia="fr-FR" w:bidi="fr-FR"/>
        </w:rPr>
        <w:t>u</w:t>
      </w:r>
      <w:r w:rsidRPr="00DB6FFA">
        <w:rPr>
          <w:lang w:eastAsia="fr-FR" w:bidi="fr-FR"/>
        </w:rPr>
        <w:t>ple, c’est-à-dire l’État</w:t>
      </w:r>
      <w:r>
        <w:rPr>
          <w:lang w:eastAsia="fr-FR" w:bidi="fr-FR"/>
        </w:rPr>
        <w:t> ?</w:t>
      </w:r>
      <w:r w:rsidRPr="00DB6FFA">
        <w:rPr>
          <w:lang w:eastAsia="fr-FR" w:bidi="fr-FR"/>
        </w:rPr>
        <w:t xml:space="preserve"> N’avons-nous pas, en effet, a</w:t>
      </w:r>
      <w:r w:rsidRPr="00DB6FFA">
        <w:rPr>
          <w:lang w:eastAsia="fr-FR" w:bidi="fr-FR"/>
        </w:rPr>
        <w:t>p</w:t>
      </w:r>
      <w:r w:rsidRPr="00DB6FFA">
        <w:rPr>
          <w:lang w:eastAsia="fr-FR" w:bidi="fr-FR"/>
        </w:rPr>
        <w:t>partenu à deux États qui, en leur temps, furent les plus puissants que la terre eût po</w:t>
      </w:r>
      <w:r w:rsidRPr="00DB6FFA">
        <w:rPr>
          <w:lang w:eastAsia="fr-FR" w:bidi="fr-FR"/>
        </w:rPr>
        <w:t>r</w:t>
      </w:r>
      <w:r w:rsidRPr="00DB6FFA">
        <w:rPr>
          <w:lang w:eastAsia="fr-FR" w:bidi="fr-FR"/>
        </w:rPr>
        <w:t>tés</w:t>
      </w:r>
      <w:r>
        <w:rPr>
          <w:lang w:eastAsia="fr-FR" w:bidi="fr-FR"/>
        </w:rPr>
        <w:t> ?</w:t>
      </w:r>
    </w:p>
    <w:p w14:paraId="73C5A62D" w14:textId="77777777" w:rsidR="00D01ED8" w:rsidRPr="00DB6FFA" w:rsidRDefault="00D01ED8" w:rsidP="00D01ED8">
      <w:pPr>
        <w:spacing w:before="120" w:after="120"/>
        <w:jc w:val="both"/>
      </w:pPr>
      <w:r w:rsidRPr="00DB6FFA">
        <w:rPr>
          <w:lang w:eastAsia="fr-FR" w:bidi="fr-FR"/>
        </w:rPr>
        <w:lastRenderedPageBreak/>
        <w:t>Nos institutions et l’État au premier chef demeurent des abstra</w:t>
      </w:r>
      <w:r w:rsidRPr="00DB6FFA">
        <w:rPr>
          <w:lang w:eastAsia="fr-FR" w:bidi="fr-FR"/>
        </w:rPr>
        <w:t>c</w:t>
      </w:r>
      <w:r w:rsidRPr="00DB6FFA">
        <w:rPr>
          <w:lang w:eastAsia="fr-FR" w:bidi="fr-FR"/>
        </w:rPr>
        <w:t>tions fo</w:t>
      </w:r>
      <w:r w:rsidRPr="00DB6FFA">
        <w:rPr>
          <w:lang w:eastAsia="fr-FR" w:bidi="fr-FR"/>
        </w:rPr>
        <w:t>n</w:t>
      </w:r>
      <w:r w:rsidRPr="00DB6FFA">
        <w:rPr>
          <w:lang w:eastAsia="fr-FR" w:bidi="fr-FR"/>
        </w:rPr>
        <w:t>dées sur des abstractions si l’on néglige les réalités sous-jacentes. Lon</w:t>
      </w:r>
      <w:r w:rsidRPr="00DB6FFA">
        <w:rPr>
          <w:lang w:eastAsia="fr-FR" w:bidi="fr-FR"/>
        </w:rPr>
        <w:t>g</w:t>
      </w:r>
      <w:r w:rsidRPr="00DB6FFA">
        <w:rPr>
          <w:lang w:eastAsia="fr-FR" w:bidi="fr-FR"/>
        </w:rPr>
        <w:t>temps on a pu penser qu’elles étaient douées en quelque sorte d’une existence pr</w:t>
      </w:r>
      <w:r w:rsidRPr="00DB6FFA">
        <w:rPr>
          <w:lang w:eastAsia="fr-FR" w:bidi="fr-FR"/>
        </w:rPr>
        <w:t>o</w:t>
      </w:r>
      <w:r w:rsidRPr="00DB6FFA">
        <w:rPr>
          <w:lang w:eastAsia="fr-FR" w:bidi="fr-FR"/>
        </w:rPr>
        <w:t xml:space="preserve">pre, tirant leur légitimité et leur validité de leur cohérence interne et non des références </w:t>
      </w:r>
      <w:r>
        <w:rPr>
          <w:lang w:eastAsia="fr-FR" w:bidi="fr-FR"/>
        </w:rPr>
        <w:t>« </w:t>
      </w:r>
      <w:r w:rsidRPr="00DB6FFA">
        <w:rPr>
          <w:lang w:eastAsia="fr-FR" w:bidi="fr-FR"/>
        </w:rPr>
        <w:t>externes</w:t>
      </w:r>
      <w:r>
        <w:rPr>
          <w:lang w:eastAsia="fr-FR" w:bidi="fr-FR"/>
        </w:rPr>
        <w:t> »</w:t>
      </w:r>
      <w:r w:rsidRPr="00DB6FFA">
        <w:rPr>
          <w:lang w:eastAsia="fr-FR" w:bidi="fr-FR"/>
        </w:rPr>
        <w:t xml:space="preserve"> que sont les faits sociaux, politiques, économiques et culturels. Or,</w:t>
      </w:r>
      <w:r>
        <w:t xml:space="preserve"> [200] </w:t>
      </w:r>
      <w:r w:rsidRPr="00DB6FFA">
        <w:rPr>
          <w:lang w:eastAsia="fr-FR" w:bidi="fr-FR"/>
        </w:rPr>
        <w:t>les inst</w:t>
      </w:r>
      <w:r w:rsidRPr="00DB6FFA">
        <w:rPr>
          <w:lang w:eastAsia="fr-FR" w:bidi="fr-FR"/>
        </w:rPr>
        <w:t>i</w:t>
      </w:r>
      <w:r w:rsidRPr="00DB6FFA">
        <w:rPr>
          <w:lang w:eastAsia="fr-FR" w:bidi="fr-FR"/>
        </w:rPr>
        <w:t>tutions et les nonnes ont avec ces faits des rapports étroits et con</w:t>
      </w:r>
      <w:r w:rsidRPr="00DB6FFA">
        <w:rPr>
          <w:lang w:eastAsia="fr-FR" w:bidi="fr-FR"/>
        </w:rPr>
        <w:t>s</w:t>
      </w:r>
      <w:r w:rsidRPr="00DB6FFA">
        <w:rPr>
          <w:lang w:eastAsia="fr-FR" w:bidi="fr-FR"/>
        </w:rPr>
        <w:t>tants</w:t>
      </w:r>
      <w:r>
        <w:rPr>
          <w:lang w:eastAsia="fr-FR" w:bidi="fr-FR"/>
        </w:rPr>
        <w:t> :</w:t>
      </w:r>
      <w:r w:rsidRPr="00DB6FFA">
        <w:rPr>
          <w:lang w:eastAsia="fr-FR" w:bidi="fr-FR"/>
        </w:rPr>
        <w:t xml:space="preserve"> elles ont leur fondement dans les données sociales, mais elles p</w:t>
      </w:r>
      <w:r w:rsidRPr="00DB6FFA">
        <w:rPr>
          <w:lang w:eastAsia="fr-FR" w:bidi="fr-FR"/>
        </w:rPr>
        <w:t>è</w:t>
      </w:r>
      <w:r w:rsidRPr="00DB6FFA">
        <w:rPr>
          <w:lang w:eastAsia="fr-FR" w:bidi="fr-FR"/>
        </w:rPr>
        <w:t>sent en retour sur celles-ci</w:t>
      </w:r>
      <w:r>
        <w:rPr>
          <w:lang w:eastAsia="fr-FR" w:bidi="fr-FR"/>
        </w:rPr>
        <w:t> ;</w:t>
      </w:r>
      <w:r w:rsidRPr="00DB6FFA">
        <w:rPr>
          <w:lang w:eastAsia="fr-FR" w:bidi="fr-FR"/>
        </w:rPr>
        <w:t xml:space="preserve"> elles peuvent freiner l’évolution d’une société, co</w:t>
      </w:r>
      <w:r w:rsidRPr="00DB6FFA">
        <w:rPr>
          <w:lang w:eastAsia="fr-FR" w:bidi="fr-FR"/>
        </w:rPr>
        <w:t>m</w:t>
      </w:r>
      <w:r w:rsidRPr="00DB6FFA">
        <w:rPr>
          <w:lang w:eastAsia="fr-FR" w:bidi="fr-FR"/>
        </w:rPr>
        <w:t>me cela s’est vu ici même</w:t>
      </w:r>
      <w:r>
        <w:rPr>
          <w:lang w:eastAsia="fr-FR" w:bidi="fr-FR"/>
        </w:rPr>
        <w:t> ;</w:t>
      </w:r>
      <w:r w:rsidRPr="00DB6FFA">
        <w:rPr>
          <w:lang w:eastAsia="fr-FR" w:bidi="fr-FR"/>
        </w:rPr>
        <w:t xml:space="preserve"> elles sont également propres à précéder celle-ci, à la stimuler, parfois à la can</w:t>
      </w:r>
      <w:r w:rsidRPr="00DB6FFA">
        <w:rPr>
          <w:lang w:eastAsia="fr-FR" w:bidi="fr-FR"/>
        </w:rPr>
        <w:t>a</w:t>
      </w:r>
      <w:r w:rsidRPr="00DB6FFA">
        <w:rPr>
          <w:lang w:eastAsia="fr-FR" w:bidi="fr-FR"/>
        </w:rPr>
        <w:t>liser.</w:t>
      </w:r>
    </w:p>
    <w:p w14:paraId="0084FEB1" w14:textId="77777777" w:rsidR="00D01ED8" w:rsidRPr="00DB6FFA" w:rsidRDefault="00D01ED8" w:rsidP="00D01ED8">
      <w:pPr>
        <w:spacing w:before="120" w:after="120"/>
        <w:jc w:val="both"/>
      </w:pPr>
      <w:r w:rsidRPr="00DB6FFA">
        <w:rPr>
          <w:lang w:eastAsia="fr-FR" w:bidi="fr-FR"/>
        </w:rPr>
        <w:t>Tour à tour ou simultanément arme de libération et de domination, arme de lutte et de médiation entre les acteurs sociaux, économiques ou politiques en présence, comment ignorer le système normatif lor</w:t>
      </w:r>
      <w:r w:rsidRPr="00DB6FFA">
        <w:rPr>
          <w:lang w:eastAsia="fr-FR" w:bidi="fr-FR"/>
        </w:rPr>
        <w:t>s</w:t>
      </w:r>
      <w:r w:rsidRPr="00DB6FFA">
        <w:rPr>
          <w:lang w:eastAsia="fr-FR" w:bidi="fr-FR"/>
        </w:rPr>
        <w:t>qu’on aborde les in</w:t>
      </w:r>
      <w:r w:rsidRPr="00DB6FFA">
        <w:rPr>
          <w:lang w:eastAsia="fr-FR" w:bidi="fr-FR"/>
        </w:rPr>
        <w:t>s</w:t>
      </w:r>
      <w:r w:rsidRPr="00DB6FFA">
        <w:rPr>
          <w:lang w:eastAsia="fr-FR" w:bidi="fr-FR"/>
        </w:rPr>
        <w:t>titutions en posant la question de leur rôle et de leur avenir</w:t>
      </w:r>
      <w:r>
        <w:rPr>
          <w:lang w:eastAsia="fr-FR" w:bidi="fr-FR"/>
        </w:rPr>
        <w:t> ?</w:t>
      </w:r>
      <w:r w:rsidRPr="00DB6FFA">
        <w:rPr>
          <w:lang w:eastAsia="fr-FR" w:bidi="fr-FR"/>
        </w:rPr>
        <w:t xml:space="preserve"> Ces considér</w:t>
      </w:r>
      <w:r w:rsidRPr="00DB6FFA">
        <w:rPr>
          <w:lang w:eastAsia="fr-FR" w:bidi="fr-FR"/>
        </w:rPr>
        <w:t>a</w:t>
      </w:r>
      <w:r w:rsidRPr="00DB6FFA">
        <w:rPr>
          <w:lang w:eastAsia="fr-FR" w:bidi="fr-FR"/>
        </w:rPr>
        <w:t>tions, qui valent pour l’ensemble du droit, sont particulièrement pertinentes lorsqu’on aborde les institutions de droit public, qui ont trait au pouvoir p</w:t>
      </w:r>
      <w:r w:rsidRPr="00DB6FFA">
        <w:rPr>
          <w:lang w:eastAsia="fr-FR" w:bidi="fr-FR"/>
        </w:rPr>
        <w:t>o</w:t>
      </w:r>
      <w:r w:rsidRPr="00DB6FFA">
        <w:rPr>
          <w:lang w:eastAsia="fr-FR" w:bidi="fr-FR"/>
        </w:rPr>
        <w:t>litique, à son établissement, à son exercice et à sa transmission de même qu’à ses ra</w:t>
      </w:r>
      <w:r w:rsidRPr="00DB6FFA">
        <w:rPr>
          <w:lang w:eastAsia="fr-FR" w:bidi="fr-FR"/>
        </w:rPr>
        <w:t>p</w:t>
      </w:r>
      <w:r w:rsidRPr="00DB6FFA">
        <w:rPr>
          <w:lang w:eastAsia="fr-FR" w:bidi="fr-FR"/>
        </w:rPr>
        <w:t>ports avec les citoyens et leurs droits fondamentaux.</w:t>
      </w:r>
    </w:p>
    <w:p w14:paraId="092B86F9" w14:textId="77777777" w:rsidR="00D01ED8" w:rsidRPr="00DB6FFA" w:rsidRDefault="00D01ED8" w:rsidP="00D01ED8">
      <w:pPr>
        <w:spacing w:before="120" w:after="120"/>
        <w:jc w:val="both"/>
      </w:pPr>
      <w:r w:rsidRPr="00DB6FFA">
        <w:rPr>
          <w:lang w:eastAsia="fr-FR" w:bidi="fr-FR"/>
        </w:rPr>
        <w:t>Pour comprendre l’évolution de ces institutions et anticiper les chang</w:t>
      </w:r>
      <w:r w:rsidRPr="00DB6FFA">
        <w:rPr>
          <w:lang w:eastAsia="fr-FR" w:bidi="fr-FR"/>
        </w:rPr>
        <w:t>e</w:t>
      </w:r>
      <w:r w:rsidRPr="00DB6FFA">
        <w:rPr>
          <w:lang w:eastAsia="fr-FR" w:bidi="fr-FR"/>
        </w:rPr>
        <w:t>ments qui marqueront l’avenir prévisible, il faudrait avoir à l’esprit tous ces facteurs sociaux, tant ceux qui agissent de l’intérieur que ceux qui, nous échappant entièrement ou presque, surviennent de l’extérieur. C’est une t</w:t>
      </w:r>
      <w:r w:rsidRPr="00DB6FFA">
        <w:rPr>
          <w:lang w:eastAsia="fr-FR" w:bidi="fr-FR"/>
        </w:rPr>
        <w:t>â</w:t>
      </w:r>
      <w:r w:rsidRPr="00DB6FFA">
        <w:rPr>
          <w:lang w:eastAsia="fr-FR" w:bidi="fr-FR"/>
        </w:rPr>
        <w:t>che ardue, sinon impossible, certainement à aborder avec beaucoup de m</w:t>
      </w:r>
      <w:r w:rsidRPr="00DB6FFA">
        <w:rPr>
          <w:lang w:eastAsia="fr-FR" w:bidi="fr-FR"/>
        </w:rPr>
        <w:t>o</w:t>
      </w:r>
      <w:r w:rsidRPr="00DB6FFA">
        <w:rPr>
          <w:lang w:eastAsia="fr-FR" w:bidi="fr-FR"/>
        </w:rPr>
        <w:t>destie. Tentons-le en partant des deux phénomènes qui me paraissent les plus caract</w:t>
      </w:r>
      <w:r w:rsidRPr="00DB6FFA">
        <w:rPr>
          <w:lang w:eastAsia="fr-FR" w:bidi="fr-FR"/>
        </w:rPr>
        <w:t>é</w:t>
      </w:r>
      <w:r w:rsidRPr="00DB6FFA">
        <w:rPr>
          <w:lang w:eastAsia="fr-FR" w:bidi="fr-FR"/>
        </w:rPr>
        <w:t>ristiques du droit public depuis plus d’un quart de siècle au Québec et au Canada</w:t>
      </w:r>
      <w:r>
        <w:rPr>
          <w:lang w:eastAsia="fr-FR" w:bidi="fr-FR"/>
        </w:rPr>
        <w:t> :</w:t>
      </w:r>
      <w:r w:rsidRPr="00DB6FFA">
        <w:rPr>
          <w:lang w:eastAsia="fr-FR" w:bidi="fr-FR"/>
        </w:rPr>
        <w:t xml:space="preserve"> la croissa</w:t>
      </w:r>
      <w:r w:rsidRPr="00DB6FFA">
        <w:rPr>
          <w:lang w:eastAsia="fr-FR" w:bidi="fr-FR"/>
        </w:rPr>
        <w:t>n</w:t>
      </w:r>
      <w:r w:rsidRPr="00DB6FFA">
        <w:rPr>
          <w:lang w:eastAsia="fr-FR" w:bidi="fr-FR"/>
        </w:rPr>
        <w:t>ce de l’État et les difficultés constitutio</w:t>
      </w:r>
      <w:r w:rsidRPr="00DB6FFA">
        <w:rPr>
          <w:lang w:eastAsia="fr-FR" w:bidi="fr-FR"/>
        </w:rPr>
        <w:t>n</w:t>
      </w:r>
      <w:r w:rsidRPr="00DB6FFA">
        <w:rPr>
          <w:lang w:eastAsia="fr-FR" w:bidi="fr-FR"/>
        </w:rPr>
        <w:t>nelles qui en ont découlé et l’affermissement des droits et libertés de la personne, qui a maint</w:t>
      </w:r>
      <w:r w:rsidRPr="00DB6FFA">
        <w:rPr>
          <w:lang w:eastAsia="fr-FR" w:bidi="fr-FR"/>
        </w:rPr>
        <w:t>e</w:t>
      </w:r>
      <w:r w:rsidRPr="00DB6FFA">
        <w:rPr>
          <w:lang w:eastAsia="fr-FR" w:bidi="fr-FR"/>
        </w:rPr>
        <w:t>nant franchi l’étape de la constitutionnalisation. Cette démarche n’est pas sans arrière-pensée dialectique, puisque la collectivité et l’individu forment un couple dont les rapports sont à la fois étroits et co</w:t>
      </w:r>
      <w:r w:rsidRPr="00DB6FFA">
        <w:rPr>
          <w:lang w:eastAsia="fr-FR" w:bidi="fr-FR"/>
        </w:rPr>
        <w:t>m</w:t>
      </w:r>
      <w:r w:rsidRPr="00DB6FFA">
        <w:rPr>
          <w:lang w:eastAsia="fr-FR" w:bidi="fr-FR"/>
        </w:rPr>
        <w:t>plexes.</w:t>
      </w:r>
    </w:p>
    <w:p w14:paraId="65E5BA8C" w14:textId="77777777" w:rsidR="00D01ED8" w:rsidRDefault="00D01ED8" w:rsidP="00D01ED8">
      <w:pPr>
        <w:spacing w:before="120" w:after="120"/>
        <w:jc w:val="both"/>
        <w:rPr>
          <w:lang w:eastAsia="fr-FR" w:bidi="fr-FR"/>
        </w:rPr>
      </w:pPr>
      <w:r>
        <w:rPr>
          <w:lang w:eastAsia="fr-FR" w:bidi="fr-FR"/>
        </w:rPr>
        <w:br w:type="page"/>
      </w:r>
    </w:p>
    <w:p w14:paraId="39328C20" w14:textId="77777777" w:rsidR="00D01ED8" w:rsidRPr="00DB6FFA" w:rsidRDefault="00D01ED8" w:rsidP="00D01ED8">
      <w:pPr>
        <w:pStyle w:val="a"/>
      </w:pPr>
      <w:r w:rsidRPr="00DB6FFA">
        <w:t>LA CROISSANCE DE L’ÉTAT</w:t>
      </w:r>
    </w:p>
    <w:p w14:paraId="63368223" w14:textId="77777777" w:rsidR="00D01ED8" w:rsidRDefault="00D01ED8" w:rsidP="00D01ED8">
      <w:pPr>
        <w:spacing w:before="120" w:after="120"/>
        <w:jc w:val="both"/>
        <w:rPr>
          <w:lang w:eastAsia="fr-FR" w:bidi="fr-FR"/>
        </w:rPr>
      </w:pPr>
    </w:p>
    <w:p w14:paraId="3D2B62BD" w14:textId="77777777" w:rsidR="00D01ED8" w:rsidRPr="00DB6FFA" w:rsidRDefault="00D01ED8" w:rsidP="00D01ED8">
      <w:pPr>
        <w:spacing w:before="120" w:after="120"/>
        <w:jc w:val="both"/>
      </w:pPr>
      <w:r w:rsidRPr="00DB6FFA">
        <w:rPr>
          <w:lang w:eastAsia="fr-FR" w:bidi="fr-FR"/>
        </w:rPr>
        <w:t>Si l’on veut se donner une vue d’ensemble de l’évolution de nos instit</w:t>
      </w:r>
      <w:r w:rsidRPr="00DB6FFA">
        <w:rPr>
          <w:lang w:eastAsia="fr-FR" w:bidi="fr-FR"/>
        </w:rPr>
        <w:t>u</w:t>
      </w:r>
      <w:r w:rsidRPr="00DB6FFA">
        <w:rPr>
          <w:lang w:eastAsia="fr-FR" w:bidi="fr-FR"/>
        </w:rPr>
        <w:t>tions de droit public, il paraît difficile de le faire sans remonter à la Seconde Guerre mondiale, voire à la grande crise économique qui l’a précédée. C’est de ces grands bouleversements que sont nées les idées sociales et les doctr</w:t>
      </w:r>
      <w:r w:rsidRPr="00DB6FFA">
        <w:rPr>
          <w:lang w:eastAsia="fr-FR" w:bidi="fr-FR"/>
        </w:rPr>
        <w:t>i</w:t>
      </w:r>
      <w:r w:rsidRPr="00DB6FFA">
        <w:rPr>
          <w:lang w:eastAsia="fr-FR" w:bidi="fr-FR"/>
        </w:rPr>
        <w:t>nes économiques dont les effets se feront pleinement sentir à partir de 1960 et qui engendreront le phénomène majeur du dernier tiers de siècle</w:t>
      </w:r>
      <w:r>
        <w:rPr>
          <w:lang w:eastAsia="fr-FR" w:bidi="fr-FR"/>
        </w:rPr>
        <w:t> :</w:t>
      </w:r>
      <w:r w:rsidRPr="00DB6FFA">
        <w:rPr>
          <w:lang w:eastAsia="fr-FR" w:bidi="fr-FR"/>
        </w:rPr>
        <w:t xml:space="preserve"> l’affermissement de l’État autonome québécois par rapport au cadre fédéral</w:t>
      </w:r>
      <w:r>
        <w:t xml:space="preserve"> [201] </w:t>
      </w:r>
      <w:r w:rsidRPr="00DB6FFA">
        <w:rPr>
          <w:lang w:eastAsia="fr-FR" w:bidi="fr-FR"/>
        </w:rPr>
        <w:t>canadien, lequel s’est également développé de manière remarquable. Il suffit de relire que</w:t>
      </w:r>
      <w:r w:rsidRPr="00DB6FFA">
        <w:rPr>
          <w:lang w:eastAsia="fr-FR" w:bidi="fr-FR"/>
        </w:rPr>
        <w:t>l</w:t>
      </w:r>
      <w:r w:rsidRPr="00DB6FFA">
        <w:rPr>
          <w:lang w:eastAsia="fr-FR" w:bidi="fr-FR"/>
        </w:rPr>
        <w:t>ques text</w:t>
      </w:r>
      <w:r>
        <w:rPr>
          <w:lang w:eastAsia="fr-FR" w:bidi="fr-FR"/>
        </w:rPr>
        <w:t>es caractéristiques de l’avant-</w:t>
      </w:r>
      <w:r w:rsidRPr="00DB6FFA">
        <w:rPr>
          <w:lang w:eastAsia="fr-FR" w:bidi="fr-FR"/>
        </w:rPr>
        <w:t>guerre pour s’en pe</w:t>
      </w:r>
      <w:r w:rsidRPr="00DB6FFA">
        <w:rPr>
          <w:lang w:eastAsia="fr-FR" w:bidi="fr-FR"/>
        </w:rPr>
        <w:t>r</w:t>
      </w:r>
      <w:r w:rsidRPr="00DB6FFA">
        <w:rPr>
          <w:lang w:eastAsia="fr-FR" w:bidi="fr-FR"/>
        </w:rPr>
        <w:t xml:space="preserve">suader, comme ce </w:t>
      </w:r>
      <w:r w:rsidRPr="00590C1D">
        <w:rPr>
          <w:i/>
        </w:rPr>
        <w:t>Programme de restauration sociale</w:t>
      </w:r>
      <w:r w:rsidRPr="00DB6FFA">
        <w:rPr>
          <w:lang w:eastAsia="fr-FR" w:bidi="fr-FR"/>
        </w:rPr>
        <w:t xml:space="preserve"> publié en 1933 par l’École sociale populaire, qui déclare</w:t>
      </w:r>
      <w:r>
        <w:rPr>
          <w:lang w:eastAsia="fr-FR" w:bidi="fr-FR"/>
        </w:rPr>
        <w:t> :</w:t>
      </w:r>
      <w:r w:rsidRPr="00DB6FFA">
        <w:rPr>
          <w:lang w:eastAsia="fr-FR" w:bidi="fr-FR"/>
        </w:rPr>
        <w:t xml:space="preserve"> </w:t>
      </w:r>
      <w:r>
        <w:rPr>
          <w:lang w:eastAsia="fr-FR" w:bidi="fr-FR"/>
        </w:rPr>
        <w:t>« </w:t>
      </w:r>
      <w:r w:rsidRPr="00DB6FFA">
        <w:rPr>
          <w:lang w:eastAsia="fr-FR" w:bidi="fr-FR"/>
        </w:rPr>
        <w:t>L’État, dont le rôle est de protéger les droits et les libertés légitimes, ceux su</w:t>
      </w:r>
      <w:r w:rsidRPr="00DB6FFA">
        <w:rPr>
          <w:lang w:eastAsia="fr-FR" w:bidi="fr-FR"/>
        </w:rPr>
        <w:t>r</w:t>
      </w:r>
      <w:r w:rsidRPr="00DB6FFA">
        <w:rPr>
          <w:lang w:eastAsia="fr-FR" w:bidi="fr-FR"/>
        </w:rPr>
        <w:t>tout des faibles et des indigents, et de promouvoir le bien commun, doit intervenir par des mesures législatives pour mettre fin à la dict</w:t>
      </w:r>
      <w:r w:rsidRPr="00DB6FFA">
        <w:rPr>
          <w:lang w:eastAsia="fr-FR" w:bidi="fr-FR"/>
        </w:rPr>
        <w:t>a</w:t>
      </w:r>
      <w:r w:rsidRPr="00DB6FFA">
        <w:rPr>
          <w:lang w:eastAsia="fr-FR" w:bidi="fr-FR"/>
        </w:rPr>
        <w:t>ture économique [celle des trusts notamment] et assurer une meilleure répartition des richesses.</w:t>
      </w:r>
      <w:r>
        <w:rPr>
          <w:lang w:eastAsia="fr-FR" w:bidi="fr-FR"/>
        </w:rPr>
        <w:t> »</w:t>
      </w:r>
    </w:p>
    <w:p w14:paraId="4477C753" w14:textId="77777777" w:rsidR="00D01ED8" w:rsidRPr="00DB6FFA" w:rsidRDefault="00D01ED8" w:rsidP="00D01ED8">
      <w:pPr>
        <w:spacing w:before="120" w:after="120"/>
        <w:jc w:val="both"/>
      </w:pPr>
      <w:r w:rsidRPr="00DB6FFA">
        <w:rPr>
          <w:lang w:eastAsia="fr-FR" w:bidi="fr-FR"/>
        </w:rPr>
        <w:t>Fut-ce une coïncidence</w:t>
      </w:r>
      <w:r>
        <w:rPr>
          <w:lang w:eastAsia="fr-FR" w:bidi="fr-FR"/>
        </w:rPr>
        <w:t> ?</w:t>
      </w:r>
      <w:r w:rsidRPr="00DB6FFA">
        <w:rPr>
          <w:lang w:eastAsia="fr-FR" w:bidi="fr-FR"/>
        </w:rPr>
        <w:t xml:space="preserve"> La Faculté des sciences sociales est née au m</w:t>
      </w:r>
      <w:r w:rsidRPr="00DB6FFA">
        <w:rPr>
          <w:lang w:eastAsia="fr-FR" w:bidi="fr-FR"/>
        </w:rPr>
        <w:t>i</w:t>
      </w:r>
      <w:r w:rsidRPr="00DB6FFA">
        <w:rPr>
          <w:lang w:eastAsia="fr-FR" w:bidi="fr-FR"/>
        </w:rPr>
        <w:t>lieu de ces débats, il y a cinquante ans. Résultat de l’évolution des idées ou l’une des causes prochaines des développements de l’après-guerre</w:t>
      </w:r>
      <w:r>
        <w:rPr>
          <w:lang w:eastAsia="fr-FR" w:bidi="fr-FR"/>
        </w:rPr>
        <w:t> ?</w:t>
      </w:r>
      <w:r w:rsidRPr="00DB6FFA">
        <w:rPr>
          <w:lang w:eastAsia="fr-FR" w:bidi="fr-FR"/>
        </w:rPr>
        <w:t xml:space="preserve"> En réal</w:t>
      </w:r>
      <w:r w:rsidRPr="00DB6FFA">
        <w:rPr>
          <w:lang w:eastAsia="fr-FR" w:bidi="fr-FR"/>
        </w:rPr>
        <w:t>i</w:t>
      </w:r>
      <w:r w:rsidRPr="00DB6FFA">
        <w:rPr>
          <w:lang w:eastAsia="fr-FR" w:bidi="fr-FR"/>
        </w:rPr>
        <w:t>té, elle fut l’un et l’autre</w:t>
      </w:r>
      <w:r>
        <w:rPr>
          <w:lang w:eastAsia="fr-FR" w:bidi="fr-FR"/>
        </w:rPr>
        <w:t> :</w:t>
      </w:r>
      <w:r w:rsidRPr="00DB6FFA">
        <w:rPr>
          <w:lang w:eastAsia="fr-FR" w:bidi="fr-FR"/>
        </w:rPr>
        <w:t xml:space="preserve"> engendrée par l’évolution sociale du Québec et du Canada, elle ne tarda pas à i</w:t>
      </w:r>
      <w:r w:rsidRPr="00DB6FFA">
        <w:rPr>
          <w:lang w:eastAsia="fr-FR" w:bidi="fr-FR"/>
        </w:rPr>
        <w:t>n</w:t>
      </w:r>
      <w:r w:rsidRPr="00DB6FFA">
        <w:rPr>
          <w:lang w:eastAsia="fr-FR" w:bidi="fr-FR"/>
        </w:rPr>
        <w:t>fluencer celle-ci. Comme l’a écrit Guy Rocher, les recherches sociales qui ont contribué à une connaissance plus scientifique du Québec ont exercé une influence profonde sur la société québécoise et ont contr</w:t>
      </w:r>
      <w:r w:rsidRPr="00DB6FFA">
        <w:rPr>
          <w:lang w:eastAsia="fr-FR" w:bidi="fr-FR"/>
        </w:rPr>
        <w:t>i</w:t>
      </w:r>
      <w:r w:rsidRPr="00DB6FFA">
        <w:rPr>
          <w:lang w:eastAsia="fr-FR" w:bidi="fr-FR"/>
        </w:rPr>
        <w:t>bué fortement à la formation des cadres de l’État plus fort et plus i</w:t>
      </w:r>
      <w:r w:rsidRPr="00DB6FFA">
        <w:rPr>
          <w:lang w:eastAsia="fr-FR" w:bidi="fr-FR"/>
        </w:rPr>
        <w:t>n</w:t>
      </w:r>
      <w:r w:rsidRPr="00DB6FFA">
        <w:rPr>
          <w:lang w:eastAsia="fr-FR" w:bidi="fr-FR"/>
        </w:rPr>
        <w:t>terventionniste dont les Québécois se sont dotés depuis la Révolution tranquille</w:t>
      </w:r>
      <w:r>
        <w:rPr>
          <w:lang w:eastAsia="fr-FR" w:bidi="fr-FR"/>
        </w:rPr>
        <w:t> </w:t>
      </w:r>
      <w:r>
        <w:rPr>
          <w:rStyle w:val="Appelnotedebasdep"/>
          <w:lang w:eastAsia="fr-FR" w:bidi="fr-FR"/>
        </w:rPr>
        <w:footnoteReference w:id="1"/>
      </w:r>
      <w:r w:rsidRPr="00DB6FFA">
        <w:rPr>
          <w:lang w:eastAsia="fr-FR" w:bidi="fr-FR"/>
        </w:rPr>
        <w:t>.</w:t>
      </w:r>
    </w:p>
    <w:p w14:paraId="42268CC0" w14:textId="77777777" w:rsidR="00D01ED8" w:rsidRPr="00DB6FFA" w:rsidRDefault="00D01ED8" w:rsidP="00D01ED8">
      <w:pPr>
        <w:spacing w:before="120" w:after="120"/>
        <w:jc w:val="both"/>
      </w:pPr>
      <w:r w:rsidRPr="00DB6FFA">
        <w:rPr>
          <w:lang w:eastAsia="fr-FR" w:bidi="fr-FR"/>
        </w:rPr>
        <w:t>Les dernières décennies sont donc dominées, sur le plan des inst</w:t>
      </w:r>
      <w:r w:rsidRPr="00DB6FFA">
        <w:rPr>
          <w:lang w:eastAsia="fr-FR" w:bidi="fr-FR"/>
        </w:rPr>
        <w:t>i</w:t>
      </w:r>
      <w:r w:rsidRPr="00DB6FFA">
        <w:rPr>
          <w:lang w:eastAsia="fr-FR" w:bidi="fr-FR"/>
        </w:rPr>
        <w:t>tutions, par le renforcement de l’État. Celui-ci se préparait dans les esprits depuis la crise économique, mais la guerre mondiale, en cons</w:t>
      </w:r>
      <w:r w:rsidRPr="00DB6FFA">
        <w:rPr>
          <w:lang w:eastAsia="fr-FR" w:bidi="fr-FR"/>
        </w:rPr>
        <w:t>o</w:t>
      </w:r>
      <w:r w:rsidRPr="00DB6FFA">
        <w:rPr>
          <w:lang w:eastAsia="fr-FR" w:bidi="fr-FR"/>
        </w:rPr>
        <w:lastRenderedPageBreak/>
        <w:t>lidant l’État fédéral aux dépens des provinces, comme le voulait le Rapport Rowell-Sirois</w:t>
      </w:r>
      <w:r>
        <w:rPr>
          <w:lang w:eastAsia="fr-FR" w:bidi="fr-FR"/>
        </w:rPr>
        <w:t> </w:t>
      </w:r>
      <w:r>
        <w:rPr>
          <w:rStyle w:val="Appelnotedebasdep"/>
          <w:lang w:eastAsia="fr-FR" w:bidi="fr-FR"/>
        </w:rPr>
        <w:footnoteReference w:id="2"/>
      </w:r>
      <w:r w:rsidRPr="00DB6FFA">
        <w:rPr>
          <w:lang w:eastAsia="fr-FR" w:bidi="fr-FR"/>
        </w:rPr>
        <w:t>, a sans doute provoqué la réaction québéco</w:t>
      </w:r>
      <w:r w:rsidRPr="00DB6FFA">
        <w:rPr>
          <w:lang w:eastAsia="fr-FR" w:bidi="fr-FR"/>
        </w:rPr>
        <w:t>i</w:t>
      </w:r>
      <w:r w:rsidRPr="00DB6FFA">
        <w:rPr>
          <w:lang w:eastAsia="fr-FR" w:bidi="fr-FR"/>
        </w:rPr>
        <w:t>se, illustrée par le Rapport de la Commission Tremblay, qui affi</w:t>
      </w:r>
      <w:r w:rsidRPr="00DB6FFA">
        <w:rPr>
          <w:lang w:eastAsia="fr-FR" w:bidi="fr-FR"/>
        </w:rPr>
        <w:t>r</w:t>
      </w:r>
      <w:r w:rsidRPr="00DB6FFA">
        <w:rPr>
          <w:lang w:eastAsia="fr-FR" w:bidi="fr-FR"/>
        </w:rPr>
        <w:t xml:space="preserve">ma en 1956 que le Québec constituait le </w:t>
      </w:r>
      <w:r>
        <w:rPr>
          <w:lang w:eastAsia="fr-FR" w:bidi="fr-FR"/>
        </w:rPr>
        <w:t>« </w:t>
      </w:r>
      <w:r w:rsidRPr="00DB6FFA">
        <w:rPr>
          <w:lang w:eastAsia="fr-FR" w:bidi="fr-FR"/>
        </w:rPr>
        <w:t>foyer national</w:t>
      </w:r>
      <w:r>
        <w:rPr>
          <w:lang w:eastAsia="fr-FR" w:bidi="fr-FR"/>
        </w:rPr>
        <w:t> »</w:t>
      </w:r>
      <w:r w:rsidRPr="00DB6FFA">
        <w:rPr>
          <w:lang w:eastAsia="fr-FR" w:bidi="fr-FR"/>
        </w:rPr>
        <w:t xml:space="preserve"> et </w:t>
      </w:r>
      <w:r>
        <w:rPr>
          <w:lang w:eastAsia="fr-FR" w:bidi="fr-FR"/>
        </w:rPr>
        <w:t>« </w:t>
      </w:r>
      <w:r w:rsidRPr="00DB6FFA">
        <w:rPr>
          <w:lang w:eastAsia="fr-FR" w:bidi="fr-FR"/>
        </w:rPr>
        <w:t>par le droit, [le] milieu politique fondamental du Canada français</w:t>
      </w:r>
      <w:r>
        <w:rPr>
          <w:lang w:eastAsia="fr-FR" w:bidi="fr-FR"/>
        </w:rPr>
        <w:t> </w:t>
      </w:r>
      <w:r>
        <w:rPr>
          <w:rStyle w:val="Appelnotedebasdep"/>
          <w:lang w:eastAsia="fr-FR" w:bidi="fr-FR"/>
        </w:rPr>
        <w:footnoteReference w:id="3"/>
      </w:r>
      <w:r>
        <w:rPr>
          <w:lang w:eastAsia="fr-FR" w:bidi="fr-FR"/>
        </w:rPr>
        <w:t> »</w:t>
      </w:r>
      <w:r w:rsidRPr="00DB6FFA">
        <w:rPr>
          <w:lang w:eastAsia="fr-FR" w:bidi="fr-FR"/>
        </w:rPr>
        <w:t>. C</w:t>
      </w:r>
      <w:r w:rsidRPr="00DB6FFA">
        <w:rPr>
          <w:lang w:eastAsia="fr-FR" w:bidi="fr-FR"/>
        </w:rPr>
        <w:t>e</w:t>
      </w:r>
      <w:r w:rsidRPr="00DB6FFA">
        <w:rPr>
          <w:lang w:eastAsia="fr-FR" w:bidi="fr-FR"/>
        </w:rPr>
        <w:t>pendant, si, pour les uns, l’État s’incarnait avant tout dans les instit</w:t>
      </w:r>
      <w:r w:rsidRPr="00DB6FFA">
        <w:rPr>
          <w:lang w:eastAsia="fr-FR" w:bidi="fr-FR"/>
        </w:rPr>
        <w:t>u</w:t>
      </w:r>
      <w:r w:rsidRPr="00DB6FFA">
        <w:rPr>
          <w:lang w:eastAsia="fr-FR" w:bidi="fr-FR"/>
        </w:rPr>
        <w:t>tions autonomes du Québec, pour d’autres, le pouvoir fédéral const</w:t>
      </w:r>
      <w:r w:rsidRPr="00DB6FFA">
        <w:rPr>
          <w:lang w:eastAsia="fr-FR" w:bidi="fr-FR"/>
        </w:rPr>
        <w:t>i</w:t>
      </w:r>
      <w:r w:rsidRPr="00DB6FFA">
        <w:rPr>
          <w:lang w:eastAsia="fr-FR" w:bidi="fr-FR"/>
        </w:rPr>
        <w:t>tuait également, sinon davantage, à cette époque, un levier de dév</w:t>
      </w:r>
      <w:r w:rsidRPr="00DB6FFA">
        <w:rPr>
          <w:lang w:eastAsia="fr-FR" w:bidi="fr-FR"/>
        </w:rPr>
        <w:t>e</w:t>
      </w:r>
      <w:r w:rsidRPr="00DB6FFA">
        <w:rPr>
          <w:lang w:eastAsia="fr-FR" w:bidi="fr-FR"/>
        </w:rPr>
        <w:t>loppement économique et de transformation sociale. Parmi ceux-ci, on comptait certains fondateurs</w:t>
      </w:r>
      <w:r>
        <w:t xml:space="preserve"> [202] </w:t>
      </w:r>
      <w:r w:rsidRPr="00DB6FFA">
        <w:rPr>
          <w:lang w:eastAsia="fr-FR" w:bidi="fr-FR"/>
        </w:rPr>
        <w:t>de cette faculté</w:t>
      </w:r>
      <w:r>
        <w:rPr>
          <w:lang w:eastAsia="fr-FR" w:bidi="fr-FR"/>
        </w:rPr>
        <w:t> :</w:t>
      </w:r>
      <w:r w:rsidRPr="00DB6FFA">
        <w:rPr>
          <w:lang w:eastAsia="fr-FR" w:bidi="fr-FR"/>
        </w:rPr>
        <w:t xml:space="preserve"> aux yeux de Ma</w:t>
      </w:r>
      <w:r w:rsidRPr="00DB6FFA">
        <w:rPr>
          <w:lang w:eastAsia="fr-FR" w:bidi="fr-FR"/>
        </w:rPr>
        <w:t>u</w:t>
      </w:r>
      <w:r w:rsidRPr="00DB6FFA">
        <w:rPr>
          <w:lang w:eastAsia="fr-FR" w:bidi="fr-FR"/>
        </w:rPr>
        <w:t>rice Lamontagne, par exemple, le gouve</w:t>
      </w:r>
      <w:r w:rsidRPr="00DB6FFA">
        <w:rPr>
          <w:lang w:eastAsia="fr-FR" w:bidi="fr-FR"/>
        </w:rPr>
        <w:t>r</w:t>
      </w:r>
      <w:r w:rsidRPr="00DB6FFA">
        <w:rPr>
          <w:lang w:eastAsia="fr-FR" w:bidi="fr-FR"/>
        </w:rPr>
        <w:t xml:space="preserve">nement fédéral était appelé à jouer </w:t>
      </w:r>
      <w:r>
        <w:rPr>
          <w:lang w:eastAsia="fr-FR" w:bidi="fr-FR"/>
        </w:rPr>
        <w:t>« </w:t>
      </w:r>
      <w:r w:rsidRPr="00DB6FFA">
        <w:rPr>
          <w:lang w:eastAsia="fr-FR" w:bidi="fr-FR"/>
        </w:rPr>
        <w:t>un rôle dominant</w:t>
      </w:r>
      <w:r>
        <w:rPr>
          <w:lang w:eastAsia="fr-FR" w:bidi="fr-FR"/>
        </w:rPr>
        <w:t> »</w:t>
      </w:r>
      <w:r w:rsidRPr="00DB6FFA">
        <w:rPr>
          <w:lang w:eastAsia="fr-FR" w:bidi="fr-FR"/>
        </w:rPr>
        <w:t xml:space="preserve"> dans la lutte contre le chômage et l’inflation cyclique, et c’est à lui que r</w:t>
      </w:r>
      <w:r w:rsidRPr="00DB6FFA">
        <w:rPr>
          <w:lang w:eastAsia="fr-FR" w:bidi="fr-FR"/>
        </w:rPr>
        <w:t>e</w:t>
      </w:r>
      <w:r w:rsidRPr="00DB6FFA">
        <w:rPr>
          <w:lang w:eastAsia="fr-FR" w:bidi="fr-FR"/>
        </w:rPr>
        <w:t>venait la tâche d’assurer le bien-être social</w:t>
      </w:r>
      <w:r>
        <w:rPr>
          <w:lang w:eastAsia="fr-FR" w:bidi="fr-FR"/>
        </w:rPr>
        <w:t> ;</w:t>
      </w:r>
      <w:r w:rsidRPr="00DB6FFA">
        <w:rPr>
          <w:lang w:eastAsia="fr-FR" w:bidi="fr-FR"/>
        </w:rPr>
        <w:t xml:space="preserve"> il aurait souhaité voir le Québec entreprendre une action vigoureuse dans le domaine culturel, et notamment apporter une aide financi</w:t>
      </w:r>
      <w:r w:rsidRPr="00DB6FFA">
        <w:rPr>
          <w:lang w:eastAsia="fr-FR" w:bidi="fr-FR"/>
        </w:rPr>
        <w:t>è</w:t>
      </w:r>
      <w:r w:rsidRPr="00DB6FFA">
        <w:rPr>
          <w:lang w:eastAsia="fr-FR" w:bidi="fr-FR"/>
        </w:rPr>
        <w:t xml:space="preserve">re accrue à l’enseignement supérieur, mais comme rien de tel ne semblait possible en 1954, il en venait à la conclusion que la seule solution possible était </w:t>
      </w:r>
      <w:r>
        <w:rPr>
          <w:lang w:eastAsia="fr-FR" w:bidi="fr-FR"/>
        </w:rPr>
        <w:t>« </w:t>
      </w:r>
      <w:r w:rsidRPr="00DB6FFA">
        <w:rPr>
          <w:lang w:eastAsia="fr-FR" w:bidi="fr-FR"/>
        </w:rPr>
        <w:t>l’intégration lucide</w:t>
      </w:r>
      <w:r>
        <w:rPr>
          <w:lang w:eastAsia="fr-FR" w:bidi="fr-FR"/>
        </w:rPr>
        <w:t> »</w:t>
      </w:r>
      <w:r w:rsidRPr="00DB6FFA">
        <w:rPr>
          <w:lang w:eastAsia="fr-FR" w:bidi="fr-FR"/>
        </w:rPr>
        <w:t xml:space="preserve"> au fédér</w:t>
      </w:r>
      <w:r w:rsidRPr="00DB6FFA">
        <w:rPr>
          <w:lang w:eastAsia="fr-FR" w:bidi="fr-FR"/>
        </w:rPr>
        <w:t>a</w:t>
      </w:r>
      <w:r w:rsidRPr="00DB6FFA">
        <w:rPr>
          <w:lang w:eastAsia="fr-FR" w:bidi="fr-FR"/>
        </w:rPr>
        <w:t>lisme canadien</w:t>
      </w:r>
      <w:r>
        <w:rPr>
          <w:lang w:eastAsia="fr-FR" w:bidi="fr-FR"/>
        </w:rPr>
        <w:t> </w:t>
      </w:r>
      <w:r>
        <w:rPr>
          <w:rStyle w:val="Appelnotedebasdep"/>
          <w:lang w:eastAsia="fr-FR" w:bidi="fr-FR"/>
        </w:rPr>
        <w:footnoteReference w:id="4"/>
      </w:r>
      <w:r w:rsidRPr="00DB6FFA">
        <w:rPr>
          <w:lang w:eastAsia="fr-FR" w:bidi="fr-FR"/>
        </w:rPr>
        <w:t>.</w:t>
      </w:r>
    </w:p>
    <w:p w14:paraId="5BF2742B" w14:textId="77777777" w:rsidR="00D01ED8" w:rsidRPr="00DB6FFA" w:rsidRDefault="00D01ED8" w:rsidP="00D01ED8">
      <w:pPr>
        <w:spacing w:before="120" w:after="120"/>
        <w:jc w:val="both"/>
      </w:pPr>
      <w:r w:rsidRPr="00DB6FFA">
        <w:rPr>
          <w:lang w:eastAsia="fr-FR" w:bidi="fr-FR"/>
        </w:rPr>
        <w:t>À partir de 1960, la dynamique imprimée au gouvernement québ</w:t>
      </w:r>
      <w:r w:rsidRPr="00DB6FFA">
        <w:rPr>
          <w:lang w:eastAsia="fr-FR" w:bidi="fr-FR"/>
        </w:rPr>
        <w:t>é</w:t>
      </w:r>
      <w:r w:rsidRPr="00DB6FFA">
        <w:rPr>
          <w:lang w:eastAsia="fr-FR" w:bidi="fr-FR"/>
        </w:rPr>
        <w:t>cois par l’équipe Lesage, qui prend la forme aussi bien des ministères de l’Éducation et des Affaires culturelles que du retrait des progra</w:t>
      </w:r>
      <w:r w:rsidRPr="00DB6FFA">
        <w:rPr>
          <w:lang w:eastAsia="fr-FR" w:bidi="fr-FR"/>
        </w:rPr>
        <w:t>m</w:t>
      </w:r>
      <w:r w:rsidRPr="00DB6FFA">
        <w:rPr>
          <w:lang w:eastAsia="fr-FR" w:bidi="fr-FR"/>
        </w:rPr>
        <w:t>mes féd</w:t>
      </w:r>
      <w:r w:rsidRPr="00DB6FFA">
        <w:rPr>
          <w:lang w:eastAsia="fr-FR" w:bidi="fr-FR"/>
        </w:rPr>
        <w:t>é</w:t>
      </w:r>
      <w:r w:rsidRPr="00DB6FFA">
        <w:rPr>
          <w:lang w:eastAsia="fr-FR" w:bidi="fr-FR"/>
        </w:rPr>
        <w:t>raux-provinciaux à frais partagés et de la nationalisation de l’électricité, met l’accent sur l’État québécois. Celui-ci devient porteur de nos projets de s</w:t>
      </w:r>
      <w:r w:rsidRPr="00DB6FFA">
        <w:rPr>
          <w:lang w:eastAsia="fr-FR" w:bidi="fr-FR"/>
        </w:rPr>
        <w:t>o</w:t>
      </w:r>
      <w:r w:rsidRPr="00DB6FFA">
        <w:rPr>
          <w:lang w:eastAsia="fr-FR" w:bidi="fr-FR"/>
        </w:rPr>
        <w:t xml:space="preserve">ciété et l’impression laissée par les premières transformations de la société québécoise est si profonde que plusieurs </w:t>
      </w:r>
      <w:r>
        <w:rPr>
          <w:lang w:eastAsia="fr-FR" w:bidi="fr-FR"/>
        </w:rPr>
        <w:t>—</w:t>
      </w:r>
      <w:r w:rsidRPr="00DB6FFA">
        <w:rPr>
          <w:lang w:eastAsia="fr-FR" w:bidi="fr-FR"/>
        </w:rPr>
        <w:t xml:space="preserve"> la moitié des Québécois franc</w:t>
      </w:r>
      <w:r w:rsidRPr="00DB6FFA">
        <w:rPr>
          <w:lang w:eastAsia="fr-FR" w:bidi="fr-FR"/>
        </w:rPr>
        <w:t>o</w:t>
      </w:r>
      <w:r w:rsidRPr="00DB6FFA">
        <w:rPr>
          <w:lang w:eastAsia="fr-FR" w:bidi="fr-FR"/>
        </w:rPr>
        <w:t xml:space="preserve">phones au référendum de 1980 </w:t>
      </w:r>
      <w:r>
        <w:rPr>
          <w:lang w:eastAsia="fr-FR" w:bidi="fr-FR"/>
        </w:rPr>
        <w:t>—</w:t>
      </w:r>
      <w:r w:rsidRPr="00DB6FFA">
        <w:rPr>
          <w:lang w:eastAsia="fr-FR" w:bidi="fr-FR"/>
        </w:rPr>
        <w:t xml:space="preserve"> s’orientent vers la création d’un État souv</w:t>
      </w:r>
      <w:r w:rsidRPr="00DB6FFA">
        <w:rPr>
          <w:lang w:eastAsia="fr-FR" w:bidi="fr-FR"/>
        </w:rPr>
        <w:t>e</w:t>
      </w:r>
      <w:r w:rsidRPr="00DB6FFA">
        <w:rPr>
          <w:lang w:eastAsia="fr-FR" w:bidi="fr-FR"/>
        </w:rPr>
        <w:t>rain associé à l’économie canadienne.</w:t>
      </w:r>
    </w:p>
    <w:p w14:paraId="7F5F8E54" w14:textId="77777777" w:rsidR="00D01ED8" w:rsidRPr="00DB6FFA" w:rsidRDefault="00D01ED8" w:rsidP="00D01ED8">
      <w:pPr>
        <w:spacing w:before="120" w:after="120"/>
        <w:jc w:val="both"/>
      </w:pPr>
      <w:r w:rsidRPr="00DB6FFA">
        <w:rPr>
          <w:lang w:eastAsia="fr-FR" w:bidi="fr-FR"/>
        </w:rPr>
        <w:t>Quels sont les facteurs qui expliquent pareille évolution</w:t>
      </w:r>
      <w:r>
        <w:rPr>
          <w:lang w:eastAsia="fr-FR" w:bidi="fr-FR"/>
        </w:rPr>
        <w:t> ?</w:t>
      </w:r>
      <w:r w:rsidRPr="00DB6FFA">
        <w:rPr>
          <w:lang w:eastAsia="fr-FR" w:bidi="fr-FR"/>
        </w:rPr>
        <w:t xml:space="preserve"> On ne manque jamais d’évoquer l’industrialisation, l’urbanisation, la laïcis</w:t>
      </w:r>
      <w:r w:rsidRPr="00DB6FFA">
        <w:rPr>
          <w:lang w:eastAsia="fr-FR" w:bidi="fr-FR"/>
        </w:rPr>
        <w:t>a</w:t>
      </w:r>
      <w:r w:rsidRPr="00DB6FFA">
        <w:rPr>
          <w:lang w:eastAsia="fr-FR" w:bidi="fr-FR"/>
        </w:rPr>
        <w:t>tion, auxquelles il faut sûrement ajouter la comparaison que les Qu</w:t>
      </w:r>
      <w:r w:rsidRPr="00DB6FFA">
        <w:rPr>
          <w:lang w:eastAsia="fr-FR" w:bidi="fr-FR"/>
        </w:rPr>
        <w:t>é</w:t>
      </w:r>
      <w:r w:rsidRPr="00DB6FFA">
        <w:rPr>
          <w:lang w:eastAsia="fr-FR" w:bidi="fr-FR"/>
        </w:rPr>
        <w:lastRenderedPageBreak/>
        <w:t>bécois sont amenés à établir entre eux-mêmes et le monde extérieur en raison de la densité croi</w:t>
      </w:r>
      <w:r w:rsidRPr="00DB6FFA">
        <w:rPr>
          <w:lang w:eastAsia="fr-FR" w:bidi="fr-FR"/>
        </w:rPr>
        <w:t>s</w:t>
      </w:r>
      <w:r w:rsidRPr="00DB6FFA">
        <w:rPr>
          <w:lang w:eastAsia="fr-FR" w:bidi="fr-FR"/>
        </w:rPr>
        <w:t xml:space="preserve">sante des communications. On peut aligner maintes preuves de l’influence qu’eurent sur le mouvement des idées au Québec des phénomènes comme la décolonisation, dès le milieu des années 1950. Les Québécois, écrira Marcel Rioux, sont </w:t>
      </w:r>
      <w:r>
        <w:rPr>
          <w:lang w:eastAsia="fr-FR" w:bidi="fr-FR"/>
        </w:rPr>
        <w:t>« </w:t>
      </w:r>
      <w:r w:rsidRPr="00DB6FFA">
        <w:rPr>
          <w:lang w:eastAsia="fr-FR" w:bidi="fr-FR"/>
        </w:rPr>
        <w:t>entraînés dans le siècle</w:t>
      </w:r>
      <w:r>
        <w:rPr>
          <w:lang w:eastAsia="fr-FR" w:bidi="fr-FR"/>
        </w:rPr>
        <w:t> </w:t>
      </w:r>
      <w:r>
        <w:rPr>
          <w:rStyle w:val="Appelnotedebasdep"/>
          <w:lang w:eastAsia="fr-FR" w:bidi="fr-FR"/>
        </w:rPr>
        <w:footnoteReference w:id="5"/>
      </w:r>
      <w:r>
        <w:rPr>
          <w:lang w:eastAsia="fr-FR" w:bidi="fr-FR"/>
        </w:rPr>
        <w:t> »</w:t>
      </w:r>
      <w:r w:rsidRPr="00DB6FFA">
        <w:rPr>
          <w:lang w:eastAsia="fr-FR" w:bidi="fr-FR"/>
        </w:rPr>
        <w:t>. En outre, la faiblesse économique relat</w:t>
      </w:r>
      <w:r w:rsidRPr="00DB6FFA">
        <w:rPr>
          <w:lang w:eastAsia="fr-FR" w:bidi="fr-FR"/>
        </w:rPr>
        <w:t>i</w:t>
      </w:r>
      <w:r w:rsidRPr="00DB6FFA">
        <w:rPr>
          <w:lang w:eastAsia="fr-FR" w:bidi="fr-FR"/>
        </w:rPr>
        <w:t>ve des classes dirigeantes québécoises a fait apparaître l’État comme l’un des moyens les plus efficaces de modifier cet état de choses. E</w:t>
      </w:r>
      <w:r w:rsidRPr="00DB6FFA">
        <w:rPr>
          <w:lang w:eastAsia="fr-FR" w:bidi="fr-FR"/>
        </w:rPr>
        <w:t>n</w:t>
      </w:r>
      <w:r w:rsidRPr="00DB6FFA">
        <w:rPr>
          <w:lang w:eastAsia="fr-FR" w:bidi="fr-FR"/>
        </w:rPr>
        <w:t>fin, les jeunes, et tout partic</w:t>
      </w:r>
      <w:r w:rsidRPr="00DB6FFA">
        <w:rPr>
          <w:lang w:eastAsia="fr-FR" w:bidi="fr-FR"/>
        </w:rPr>
        <w:t>u</w:t>
      </w:r>
      <w:r w:rsidRPr="00DB6FFA">
        <w:rPr>
          <w:lang w:eastAsia="fr-FR" w:bidi="fr-FR"/>
        </w:rPr>
        <w:t>lièrement ceux à qui la démocratisation de l’enseignement a permis d’aspirer au changement social, voient leur avenir dans le développement de l’appareil étatique.</w:t>
      </w:r>
    </w:p>
    <w:p w14:paraId="0FE41E43" w14:textId="77777777" w:rsidR="00D01ED8" w:rsidRPr="00DB6FFA" w:rsidRDefault="00D01ED8" w:rsidP="00D01ED8">
      <w:pPr>
        <w:spacing w:before="120" w:after="120"/>
        <w:jc w:val="both"/>
      </w:pPr>
      <w:r w:rsidRPr="00DB6FFA">
        <w:rPr>
          <w:lang w:eastAsia="fr-FR" w:bidi="fr-FR"/>
        </w:rPr>
        <w:t>Cette volonté explicite de modernisation et d’auto-affirmation est suff</w:t>
      </w:r>
      <w:r w:rsidRPr="00DB6FFA">
        <w:rPr>
          <w:lang w:eastAsia="fr-FR" w:bidi="fr-FR"/>
        </w:rPr>
        <w:t>i</w:t>
      </w:r>
      <w:r w:rsidRPr="00DB6FFA">
        <w:rPr>
          <w:lang w:eastAsia="fr-FR" w:bidi="fr-FR"/>
        </w:rPr>
        <w:t>samment forte, après l’essoufflement de la fin des</w:t>
      </w:r>
      <w:r>
        <w:t xml:space="preserve"> [203] </w:t>
      </w:r>
      <w:r w:rsidRPr="00DB6FFA">
        <w:rPr>
          <w:lang w:eastAsia="fr-FR" w:bidi="fr-FR"/>
        </w:rPr>
        <w:t>années 1960, pour donner à la Révolution tranquille une sorte de second sou</w:t>
      </w:r>
      <w:r w:rsidRPr="00DB6FFA">
        <w:rPr>
          <w:lang w:eastAsia="fr-FR" w:bidi="fr-FR"/>
        </w:rPr>
        <w:t>f</w:t>
      </w:r>
      <w:r w:rsidRPr="00DB6FFA">
        <w:rPr>
          <w:lang w:eastAsia="fr-FR" w:bidi="fr-FR"/>
        </w:rPr>
        <w:t>fle</w:t>
      </w:r>
      <w:r>
        <w:rPr>
          <w:lang w:eastAsia="fr-FR" w:bidi="fr-FR"/>
        </w:rPr>
        <w:t> :</w:t>
      </w:r>
      <w:r w:rsidRPr="00DB6FFA">
        <w:rPr>
          <w:lang w:eastAsia="fr-FR" w:bidi="fr-FR"/>
        </w:rPr>
        <w:t xml:space="preserve"> ce sera l’aspect social-démocrate de la démarche du gouvern</w:t>
      </w:r>
      <w:r w:rsidRPr="00DB6FFA">
        <w:rPr>
          <w:lang w:eastAsia="fr-FR" w:bidi="fr-FR"/>
        </w:rPr>
        <w:t>e</w:t>
      </w:r>
      <w:r w:rsidRPr="00DB6FFA">
        <w:rPr>
          <w:lang w:eastAsia="fr-FR" w:bidi="fr-FR"/>
        </w:rPr>
        <w:t>ment Lévesque, à laquelle viendront s’ajouter les préoccup</w:t>
      </w:r>
      <w:r w:rsidRPr="00DB6FFA">
        <w:rPr>
          <w:lang w:eastAsia="fr-FR" w:bidi="fr-FR"/>
        </w:rPr>
        <w:t>a</w:t>
      </w:r>
      <w:r w:rsidRPr="00DB6FFA">
        <w:rPr>
          <w:lang w:eastAsia="fr-FR" w:bidi="fr-FR"/>
        </w:rPr>
        <w:t>tions croissantes liées à l’avenir de la langue française, enge</w:t>
      </w:r>
      <w:r w:rsidRPr="00DB6FFA">
        <w:rPr>
          <w:lang w:eastAsia="fr-FR" w:bidi="fr-FR"/>
        </w:rPr>
        <w:t>n</w:t>
      </w:r>
      <w:r w:rsidRPr="00DB6FFA">
        <w:rPr>
          <w:lang w:eastAsia="fr-FR" w:bidi="fr-FR"/>
        </w:rPr>
        <w:t>drées par les conséquences de l’immigration et le rapprochement constant avec la société américaine. L’État québécois s’enhardit alors jusqu’à interv</w:t>
      </w:r>
      <w:r w:rsidRPr="00DB6FFA">
        <w:rPr>
          <w:lang w:eastAsia="fr-FR" w:bidi="fr-FR"/>
        </w:rPr>
        <w:t>e</w:t>
      </w:r>
      <w:r w:rsidRPr="00DB6FFA">
        <w:rPr>
          <w:lang w:eastAsia="fr-FR" w:bidi="fr-FR"/>
        </w:rPr>
        <w:t>nir dans de nombreux aspects de la vie collective auparavant aba</w:t>
      </w:r>
      <w:r w:rsidRPr="00DB6FFA">
        <w:rPr>
          <w:lang w:eastAsia="fr-FR" w:bidi="fr-FR"/>
        </w:rPr>
        <w:t>n</w:t>
      </w:r>
      <w:r w:rsidRPr="00DB6FFA">
        <w:rPr>
          <w:lang w:eastAsia="fr-FR" w:bidi="fr-FR"/>
        </w:rPr>
        <w:t>donnés au laisser-faire</w:t>
      </w:r>
      <w:r>
        <w:rPr>
          <w:lang w:eastAsia="fr-FR" w:bidi="fr-FR"/>
        </w:rPr>
        <w:t> : assurance-</w:t>
      </w:r>
      <w:r w:rsidRPr="00DB6FFA">
        <w:rPr>
          <w:lang w:eastAsia="fr-FR" w:bidi="fr-FR"/>
        </w:rPr>
        <w:t>automobile, protection du territo</w:t>
      </w:r>
      <w:r w:rsidRPr="00DB6FFA">
        <w:rPr>
          <w:lang w:eastAsia="fr-FR" w:bidi="fr-FR"/>
        </w:rPr>
        <w:t>i</w:t>
      </w:r>
      <w:r w:rsidRPr="00DB6FFA">
        <w:rPr>
          <w:lang w:eastAsia="fr-FR" w:bidi="fr-FR"/>
        </w:rPr>
        <w:t xml:space="preserve">re agricole, </w:t>
      </w:r>
      <w:r w:rsidRPr="00115ED1">
        <w:rPr>
          <w:i/>
        </w:rPr>
        <w:t>Charte de la langue française</w:t>
      </w:r>
      <w:r w:rsidRPr="00DB6FFA">
        <w:t>,</w:t>
      </w:r>
      <w:r w:rsidRPr="00DB6FFA">
        <w:rPr>
          <w:lang w:eastAsia="fr-FR" w:bidi="fr-FR"/>
        </w:rPr>
        <w:t xml:space="preserve"> concertation des agents éc</w:t>
      </w:r>
      <w:r w:rsidRPr="00DB6FFA">
        <w:rPr>
          <w:lang w:eastAsia="fr-FR" w:bidi="fr-FR"/>
        </w:rPr>
        <w:t>o</w:t>
      </w:r>
      <w:r w:rsidRPr="00DB6FFA">
        <w:rPr>
          <w:lang w:eastAsia="fr-FR" w:bidi="fr-FR"/>
        </w:rPr>
        <w:t>nomiques</w:t>
      </w:r>
      <w:r>
        <w:rPr>
          <w:lang w:eastAsia="fr-FR" w:bidi="fr-FR"/>
        </w:rPr>
        <w:t> ;</w:t>
      </w:r>
      <w:r w:rsidRPr="00DB6FFA">
        <w:rPr>
          <w:lang w:eastAsia="fr-FR" w:bidi="fr-FR"/>
        </w:rPr>
        <w:t xml:space="preserve"> il propose même d’aller plus loin et de rapatrier tous les pouvoirs de même que de reconnaître la faculté, pour le pe</w:t>
      </w:r>
      <w:r w:rsidRPr="00DB6FFA">
        <w:rPr>
          <w:lang w:eastAsia="fr-FR" w:bidi="fr-FR"/>
        </w:rPr>
        <w:t>u</w:t>
      </w:r>
      <w:r>
        <w:rPr>
          <w:lang w:eastAsia="fr-FR" w:bidi="fr-FR"/>
        </w:rPr>
        <w:t>ple du Québec, de décider lui-</w:t>
      </w:r>
      <w:r w:rsidRPr="00DB6FFA">
        <w:rPr>
          <w:lang w:eastAsia="fr-FR" w:bidi="fr-FR"/>
        </w:rPr>
        <w:t>même de son avenir politique.</w:t>
      </w:r>
    </w:p>
    <w:p w14:paraId="3D6999A0" w14:textId="77777777" w:rsidR="00D01ED8" w:rsidRPr="00DB6FFA" w:rsidRDefault="00D01ED8" w:rsidP="00D01ED8">
      <w:pPr>
        <w:spacing w:before="120" w:after="120"/>
        <w:jc w:val="both"/>
      </w:pPr>
      <w:r w:rsidRPr="00DB6FFA">
        <w:rPr>
          <w:lang w:eastAsia="fr-FR" w:bidi="fr-FR"/>
        </w:rPr>
        <w:t>On imagine sans peine l’effet de ces aspirations collectives sur le fédér</w:t>
      </w:r>
      <w:r w:rsidRPr="00DB6FFA">
        <w:rPr>
          <w:lang w:eastAsia="fr-FR" w:bidi="fr-FR"/>
        </w:rPr>
        <w:t>a</w:t>
      </w:r>
      <w:r w:rsidRPr="00DB6FFA">
        <w:rPr>
          <w:lang w:eastAsia="fr-FR" w:bidi="fr-FR"/>
        </w:rPr>
        <w:t>lisme traditionnel.</w:t>
      </w:r>
      <w:r>
        <w:rPr>
          <w:lang w:eastAsia="fr-FR" w:bidi="fr-FR"/>
        </w:rPr>
        <w:t xml:space="preserve"> Avec la Commission Laurendeau-</w:t>
      </w:r>
      <w:r w:rsidRPr="00DB6FFA">
        <w:rPr>
          <w:lang w:eastAsia="fr-FR" w:bidi="fr-FR"/>
        </w:rPr>
        <w:t>Dunton, créée par le gouvernement fédéral</w:t>
      </w:r>
      <w:r>
        <w:rPr>
          <w:lang w:eastAsia="fr-FR" w:bidi="fr-FR"/>
        </w:rPr>
        <w:t> </w:t>
      </w:r>
      <w:r>
        <w:rPr>
          <w:rStyle w:val="Appelnotedebasdep"/>
          <w:lang w:eastAsia="fr-FR" w:bidi="fr-FR"/>
        </w:rPr>
        <w:footnoteReference w:id="6"/>
      </w:r>
      <w:r w:rsidRPr="00DB6FFA">
        <w:rPr>
          <w:lang w:eastAsia="fr-FR" w:bidi="fr-FR"/>
        </w:rPr>
        <w:t>, commence en 1965 une vaste i</w:t>
      </w:r>
      <w:r w:rsidRPr="00DB6FFA">
        <w:rPr>
          <w:lang w:eastAsia="fr-FR" w:bidi="fr-FR"/>
        </w:rPr>
        <w:t>n</w:t>
      </w:r>
      <w:r w:rsidRPr="00DB6FFA">
        <w:rPr>
          <w:lang w:eastAsia="fr-FR" w:bidi="fr-FR"/>
        </w:rPr>
        <w:t>trospection collect</w:t>
      </w:r>
      <w:r w:rsidRPr="00DB6FFA">
        <w:rPr>
          <w:lang w:eastAsia="fr-FR" w:bidi="fr-FR"/>
        </w:rPr>
        <w:t>i</w:t>
      </w:r>
      <w:r w:rsidRPr="00DB6FFA">
        <w:rPr>
          <w:lang w:eastAsia="fr-FR" w:bidi="fr-FR"/>
        </w:rPr>
        <w:t xml:space="preserve">ve qui ne prendra fin qu’avec ce qu’on a appelé le </w:t>
      </w:r>
      <w:r>
        <w:rPr>
          <w:lang w:eastAsia="fr-FR" w:bidi="fr-FR"/>
        </w:rPr>
        <w:t>« </w:t>
      </w:r>
      <w:r w:rsidRPr="00DB6FFA">
        <w:rPr>
          <w:lang w:eastAsia="fr-FR" w:bidi="fr-FR"/>
        </w:rPr>
        <w:t>coup de force</w:t>
      </w:r>
      <w:r>
        <w:rPr>
          <w:lang w:eastAsia="fr-FR" w:bidi="fr-FR"/>
        </w:rPr>
        <w:t> »</w:t>
      </w:r>
      <w:r w:rsidRPr="00DB6FFA">
        <w:rPr>
          <w:lang w:eastAsia="fr-FR" w:bidi="fr-FR"/>
        </w:rPr>
        <w:t xml:space="preserve"> fédéral de novembre 1981. Le rapport prélimina</w:t>
      </w:r>
      <w:r w:rsidRPr="00DB6FFA">
        <w:rPr>
          <w:lang w:eastAsia="fr-FR" w:bidi="fr-FR"/>
        </w:rPr>
        <w:t>i</w:t>
      </w:r>
      <w:r w:rsidRPr="00DB6FFA">
        <w:rPr>
          <w:lang w:eastAsia="fr-FR" w:bidi="fr-FR"/>
        </w:rPr>
        <w:t>re de la Co</w:t>
      </w:r>
      <w:r w:rsidRPr="00DB6FFA">
        <w:rPr>
          <w:lang w:eastAsia="fr-FR" w:bidi="fr-FR"/>
        </w:rPr>
        <w:t>m</w:t>
      </w:r>
      <w:r w:rsidRPr="00DB6FFA">
        <w:rPr>
          <w:lang w:eastAsia="fr-FR" w:bidi="fr-FR"/>
        </w:rPr>
        <w:t xml:space="preserve">mission parle de la population française du Québec comme d’une </w:t>
      </w:r>
      <w:r>
        <w:rPr>
          <w:lang w:eastAsia="fr-FR" w:bidi="fr-FR"/>
        </w:rPr>
        <w:t>« </w:t>
      </w:r>
      <w:r w:rsidRPr="00DB6FFA">
        <w:rPr>
          <w:lang w:eastAsia="fr-FR" w:bidi="fr-FR"/>
        </w:rPr>
        <w:t>société distincte</w:t>
      </w:r>
      <w:r>
        <w:rPr>
          <w:lang w:eastAsia="fr-FR" w:bidi="fr-FR"/>
        </w:rPr>
        <w:t> »</w:t>
      </w:r>
      <w:r w:rsidRPr="00DB6FFA">
        <w:rPr>
          <w:lang w:eastAsia="fr-FR" w:bidi="fr-FR"/>
        </w:rPr>
        <w:t xml:space="preserve"> et constate qu’elle revendique une </w:t>
      </w:r>
      <w:r>
        <w:rPr>
          <w:lang w:eastAsia="fr-FR" w:bidi="fr-FR"/>
        </w:rPr>
        <w:t>« </w:t>
      </w:r>
      <w:r w:rsidRPr="00DB6FFA">
        <w:rPr>
          <w:lang w:eastAsia="fr-FR" w:bidi="fr-FR"/>
        </w:rPr>
        <w:t>plus grande reconnaissance de la nation canadie</w:t>
      </w:r>
      <w:r w:rsidRPr="00DB6FFA">
        <w:rPr>
          <w:lang w:eastAsia="fr-FR" w:bidi="fr-FR"/>
        </w:rPr>
        <w:t>n</w:t>
      </w:r>
      <w:r w:rsidRPr="00DB6FFA">
        <w:rPr>
          <w:lang w:eastAsia="fr-FR" w:bidi="fr-FR"/>
        </w:rPr>
        <w:t>ne-française</w:t>
      </w:r>
      <w:r>
        <w:rPr>
          <w:lang w:eastAsia="fr-FR" w:bidi="fr-FR"/>
        </w:rPr>
        <w:t> »</w:t>
      </w:r>
      <w:r w:rsidRPr="00DB6FFA">
        <w:rPr>
          <w:lang w:eastAsia="fr-FR" w:bidi="fr-FR"/>
        </w:rPr>
        <w:t xml:space="preserve"> et un rôle plus grand pour l’État du Québec. Cependant, les commissaires se d</w:t>
      </w:r>
      <w:r w:rsidRPr="00DB6FFA">
        <w:rPr>
          <w:lang w:eastAsia="fr-FR" w:bidi="fr-FR"/>
        </w:rPr>
        <w:t>i</w:t>
      </w:r>
      <w:r w:rsidRPr="00DB6FFA">
        <w:rPr>
          <w:lang w:eastAsia="fr-FR" w:bidi="fr-FR"/>
        </w:rPr>
        <w:t xml:space="preserve">sent bien conscients du fait que l’idée fondamentale de leur mandat, qui était </w:t>
      </w:r>
      <w:r>
        <w:rPr>
          <w:lang w:eastAsia="fr-FR" w:bidi="fr-FR"/>
        </w:rPr>
        <w:t>« </w:t>
      </w:r>
      <w:r w:rsidRPr="00DB6FFA">
        <w:rPr>
          <w:lang w:eastAsia="fr-FR" w:bidi="fr-FR"/>
        </w:rPr>
        <w:t>l’égalité entre les deux peuples</w:t>
      </w:r>
      <w:r>
        <w:rPr>
          <w:lang w:eastAsia="fr-FR" w:bidi="fr-FR"/>
        </w:rPr>
        <w:t> »</w:t>
      </w:r>
      <w:r w:rsidRPr="00DB6FFA">
        <w:rPr>
          <w:lang w:eastAsia="fr-FR" w:bidi="fr-FR"/>
        </w:rPr>
        <w:t xml:space="preserve">, n’était pas acceptée par </w:t>
      </w:r>
      <w:r>
        <w:rPr>
          <w:lang w:eastAsia="fr-FR" w:bidi="fr-FR"/>
        </w:rPr>
        <w:t>« </w:t>
      </w:r>
      <w:r w:rsidRPr="00DB6FFA">
        <w:rPr>
          <w:lang w:eastAsia="fr-FR" w:bidi="fr-FR"/>
        </w:rPr>
        <w:t>la plupart des a</w:t>
      </w:r>
      <w:r w:rsidRPr="00DB6FFA">
        <w:rPr>
          <w:lang w:eastAsia="fr-FR" w:bidi="fr-FR"/>
        </w:rPr>
        <w:t>n</w:t>
      </w:r>
      <w:r w:rsidRPr="00DB6FFA">
        <w:rPr>
          <w:lang w:eastAsia="fr-FR" w:bidi="fr-FR"/>
        </w:rPr>
        <w:t>glophones</w:t>
      </w:r>
      <w:r>
        <w:rPr>
          <w:lang w:eastAsia="fr-FR" w:bidi="fr-FR"/>
        </w:rPr>
        <w:t> »</w:t>
      </w:r>
      <w:r w:rsidRPr="00DB6FFA">
        <w:rPr>
          <w:lang w:eastAsia="fr-FR" w:bidi="fr-FR"/>
        </w:rPr>
        <w:t>, d’où la crise de l’État canadien</w:t>
      </w:r>
      <w:r>
        <w:rPr>
          <w:lang w:eastAsia="fr-FR" w:bidi="fr-FR"/>
        </w:rPr>
        <w:t> </w:t>
      </w:r>
      <w:r>
        <w:rPr>
          <w:rStyle w:val="Appelnotedebasdep"/>
          <w:lang w:eastAsia="fr-FR" w:bidi="fr-FR"/>
        </w:rPr>
        <w:footnoteReference w:id="7"/>
      </w:r>
      <w:r w:rsidRPr="00DB6FFA">
        <w:rPr>
          <w:lang w:eastAsia="fr-FR" w:bidi="fr-FR"/>
        </w:rPr>
        <w:t>.</w:t>
      </w:r>
    </w:p>
    <w:p w14:paraId="17376C30" w14:textId="77777777" w:rsidR="00D01ED8" w:rsidRPr="00DB6FFA" w:rsidRDefault="00D01ED8" w:rsidP="00D01ED8">
      <w:pPr>
        <w:spacing w:before="120" w:after="120"/>
        <w:jc w:val="both"/>
      </w:pPr>
      <w:r w:rsidRPr="00DB6FFA">
        <w:rPr>
          <w:lang w:eastAsia="fr-FR" w:bidi="fr-FR"/>
        </w:rPr>
        <w:t>À peine quelques années plus tard, l’introspection se poursuit, après l’arrivée au pouvoir du Parti québécois, avec la Commission de l’unité c</w:t>
      </w:r>
      <w:r w:rsidRPr="00DB6FFA">
        <w:rPr>
          <w:lang w:eastAsia="fr-FR" w:bidi="fr-FR"/>
        </w:rPr>
        <w:t>a</w:t>
      </w:r>
      <w:r w:rsidRPr="00DB6FFA">
        <w:rPr>
          <w:lang w:eastAsia="fr-FR" w:bidi="fr-FR"/>
        </w:rPr>
        <w:t>nadienne</w:t>
      </w:r>
      <w:r>
        <w:rPr>
          <w:lang w:eastAsia="fr-FR" w:bidi="fr-FR"/>
        </w:rPr>
        <w:t> </w:t>
      </w:r>
      <w:r>
        <w:rPr>
          <w:rStyle w:val="Appelnotedebasdep"/>
          <w:lang w:eastAsia="fr-FR" w:bidi="fr-FR"/>
        </w:rPr>
        <w:footnoteReference w:id="8"/>
      </w:r>
      <w:r w:rsidRPr="00DB6FFA">
        <w:rPr>
          <w:lang w:eastAsia="fr-FR" w:bidi="fr-FR"/>
        </w:rPr>
        <w:t xml:space="preserve">, présidée par MM. Pépin et Robarts, qui qualifie le Québec de </w:t>
      </w:r>
      <w:r>
        <w:rPr>
          <w:lang w:eastAsia="fr-FR" w:bidi="fr-FR"/>
        </w:rPr>
        <w:t>« </w:t>
      </w:r>
      <w:r w:rsidRPr="00DB6FFA">
        <w:rPr>
          <w:lang w:eastAsia="fr-FR" w:bidi="fr-FR"/>
        </w:rPr>
        <w:t>ch</w:t>
      </w:r>
      <w:r w:rsidRPr="00DB6FFA">
        <w:rPr>
          <w:lang w:eastAsia="fr-FR" w:bidi="fr-FR"/>
        </w:rPr>
        <w:t>â</w:t>
      </w:r>
      <w:r w:rsidRPr="00DB6FFA">
        <w:rPr>
          <w:lang w:eastAsia="fr-FR" w:bidi="fr-FR"/>
        </w:rPr>
        <w:t>teau fort du peuple canadien-français</w:t>
      </w:r>
      <w:r>
        <w:rPr>
          <w:lang w:eastAsia="fr-FR" w:bidi="fr-FR"/>
        </w:rPr>
        <w:t> »</w:t>
      </w:r>
      <w:r w:rsidRPr="00DB6FFA">
        <w:rPr>
          <w:lang w:eastAsia="fr-FR" w:bidi="fr-FR"/>
        </w:rPr>
        <w:t xml:space="preserve">. Après avoir exprimé </w:t>
      </w:r>
      <w:r>
        <w:rPr>
          <w:lang w:eastAsia="fr-FR" w:bidi="fr-FR"/>
        </w:rPr>
        <w:t>« </w:t>
      </w:r>
      <w:r w:rsidRPr="00DB6FFA">
        <w:rPr>
          <w:lang w:eastAsia="fr-FR" w:bidi="fr-FR"/>
        </w:rPr>
        <w:t>avec force</w:t>
      </w:r>
      <w:r>
        <w:rPr>
          <w:lang w:eastAsia="fr-FR" w:bidi="fr-FR"/>
        </w:rPr>
        <w:t> »</w:t>
      </w:r>
      <w:r w:rsidRPr="00DB6FFA">
        <w:rPr>
          <w:lang w:eastAsia="fr-FR" w:bidi="fr-FR"/>
        </w:rPr>
        <w:t xml:space="preserve"> leur conviction que </w:t>
      </w:r>
      <w:r>
        <w:rPr>
          <w:lang w:eastAsia="fr-FR" w:bidi="fr-FR"/>
        </w:rPr>
        <w:t>« </w:t>
      </w:r>
      <w:r w:rsidRPr="00DB6FFA">
        <w:rPr>
          <w:lang w:eastAsia="fr-FR" w:bidi="fr-FR"/>
        </w:rPr>
        <w:t>le Québec est di</w:t>
      </w:r>
      <w:r w:rsidRPr="00DB6FFA">
        <w:rPr>
          <w:lang w:eastAsia="fr-FR" w:bidi="fr-FR"/>
        </w:rPr>
        <w:t>f</w:t>
      </w:r>
      <w:r w:rsidRPr="00DB6FFA">
        <w:rPr>
          <w:lang w:eastAsia="fr-FR" w:bidi="fr-FR"/>
        </w:rPr>
        <w:t>férent et devait détenir tous les pouvoirs nécessaires à la préservation et au d</w:t>
      </w:r>
      <w:r w:rsidRPr="00DB6FFA">
        <w:rPr>
          <w:lang w:eastAsia="fr-FR" w:bidi="fr-FR"/>
        </w:rPr>
        <w:t>é</w:t>
      </w:r>
      <w:r w:rsidRPr="00DB6FFA">
        <w:rPr>
          <w:lang w:eastAsia="fr-FR" w:bidi="fr-FR"/>
        </w:rPr>
        <w:t>veloppement de son caractère distinct</w:t>
      </w:r>
      <w:r>
        <w:rPr>
          <w:lang w:eastAsia="fr-FR" w:bidi="fr-FR"/>
        </w:rPr>
        <w:t> »</w:t>
      </w:r>
      <w:r w:rsidRPr="00DB6FFA">
        <w:rPr>
          <w:lang w:eastAsia="fr-FR" w:bidi="fr-FR"/>
        </w:rPr>
        <w:t xml:space="preserve">, les commissaires se montrent favorables à l’octroi au Québec d’un </w:t>
      </w:r>
      <w:r>
        <w:rPr>
          <w:lang w:eastAsia="fr-FR" w:bidi="fr-FR"/>
        </w:rPr>
        <w:t>« </w:t>
      </w:r>
      <w:r w:rsidRPr="00DB6FFA">
        <w:rPr>
          <w:lang w:eastAsia="fr-FR" w:bidi="fr-FR"/>
        </w:rPr>
        <w:t>statut distinctif</w:t>
      </w:r>
      <w:r>
        <w:rPr>
          <w:lang w:eastAsia="fr-FR" w:bidi="fr-FR"/>
        </w:rPr>
        <w:t> »</w:t>
      </w:r>
      <w:r w:rsidRPr="00DB6FFA">
        <w:rPr>
          <w:lang w:eastAsia="fr-FR" w:bidi="fr-FR"/>
        </w:rPr>
        <w:t xml:space="preserve"> dans pl</w:t>
      </w:r>
      <w:r w:rsidRPr="00DB6FFA">
        <w:rPr>
          <w:lang w:eastAsia="fr-FR" w:bidi="fr-FR"/>
        </w:rPr>
        <w:t>u</w:t>
      </w:r>
      <w:r w:rsidRPr="00DB6FFA">
        <w:rPr>
          <w:lang w:eastAsia="fr-FR" w:bidi="fr-FR"/>
        </w:rPr>
        <w:t>sieurs domaines, pour le cas où les</w:t>
      </w:r>
      <w:r>
        <w:rPr>
          <w:lang w:eastAsia="fr-FR" w:bidi="fr-FR"/>
        </w:rPr>
        <w:t xml:space="preserve"> </w:t>
      </w:r>
      <w:r>
        <w:t xml:space="preserve">[204] </w:t>
      </w:r>
      <w:r w:rsidRPr="00DB6FFA">
        <w:rPr>
          <w:lang w:eastAsia="fr-FR" w:bidi="fr-FR"/>
        </w:rPr>
        <w:t>autres provinces ne désireraient pas se prévaloir des mêmes compéte</w:t>
      </w:r>
      <w:r w:rsidRPr="00DB6FFA">
        <w:rPr>
          <w:lang w:eastAsia="fr-FR" w:bidi="fr-FR"/>
        </w:rPr>
        <w:t>n</w:t>
      </w:r>
      <w:r w:rsidRPr="00DB6FFA">
        <w:rPr>
          <w:lang w:eastAsia="fr-FR" w:bidi="fr-FR"/>
        </w:rPr>
        <w:t>ces. Comme ces idées ne paraissent pas plus acceptables que les précédentes au go</w:t>
      </w:r>
      <w:r w:rsidRPr="00DB6FFA">
        <w:rPr>
          <w:lang w:eastAsia="fr-FR" w:bidi="fr-FR"/>
        </w:rPr>
        <w:t>u</w:t>
      </w:r>
      <w:r w:rsidRPr="00DB6FFA">
        <w:rPr>
          <w:lang w:eastAsia="fr-FR" w:bidi="fr-FR"/>
        </w:rPr>
        <w:t>vernement de M. Trudeau, on recommence l’examen du malaise c</w:t>
      </w:r>
      <w:r w:rsidRPr="00DB6FFA">
        <w:rPr>
          <w:lang w:eastAsia="fr-FR" w:bidi="fr-FR"/>
        </w:rPr>
        <w:t>a</w:t>
      </w:r>
      <w:r w:rsidRPr="00DB6FFA">
        <w:rPr>
          <w:lang w:eastAsia="fr-FR" w:bidi="fr-FR"/>
        </w:rPr>
        <w:t>nadien avec la Commission Macdonald, dont le rapport sera terminé en 1985</w:t>
      </w:r>
      <w:r>
        <w:rPr>
          <w:lang w:eastAsia="fr-FR" w:bidi="fr-FR"/>
        </w:rPr>
        <w:t> </w:t>
      </w:r>
      <w:r>
        <w:rPr>
          <w:rStyle w:val="Appelnotedebasdep"/>
          <w:lang w:eastAsia="fr-FR" w:bidi="fr-FR"/>
        </w:rPr>
        <w:footnoteReference w:id="9"/>
      </w:r>
      <w:r w:rsidRPr="00DB6FFA">
        <w:rPr>
          <w:lang w:eastAsia="fr-FR" w:bidi="fr-FR"/>
        </w:rPr>
        <w:t xml:space="preserve">, c’est-à-dire après le référendum et la </w:t>
      </w:r>
      <w:r w:rsidRPr="00E63C40">
        <w:rPr>
          <w:i/>
        </w:rPr>
        <w:t>Loi constitutionnelle de 1982</w:t>
      </w:r>
      <w:r w:rsidRPr="00DB6FFA">
        <w:t>.</w:t>
      </w:r>
      <w:r w:rsidRPr="00DB6FFA">
        <w:rPr>
          <w:lang w:eastAsia="fr-FR" w:bidi="fr-FR"/>
        </w:rPr>
        <w:t xml:space="preserve"> Cette commission recommande l’inscription de la déclar</w:t>
      </w:r>
      <w:r w:rsidRPr="00DB6FFA">
        <w:rPr>
          <w:lang w:eastAsia="fr-FR" w:bidi="fr-FR"/>
        </w:rPr>
        <w:t>a</w:t>
      </w:r>
      <w:r w:rsidRPr="00DB6FFA">
        <w:rPr>
          <w:lang w:eastAsia="fr-FR" w:bidi="fr-FR"/>
        </w:rPr>
        <w:t>tion suivante dans la Constitution canadienne</w:t>
      </w:r>
      <w:r>
        <w:rPr>
          <w:lang w:eastAsia="fr-FR" w:bidi="fr-FR"/>
        </w:rPr>
        <w:t> :</w:t>
      </w:r>
      <w:r w:rsidRPr="00DB6FFA">
        <w:rPr>
          <w:lang w:eastAsia="fr-FR" w:bidi="fr-FR"/>
        </w:rPr>
        <w:t xml:space="preserve"> </w:t>
      </w:r>
      <w:r>
        <w:rPr>
          <w:lang w:eastAsia="fr-FR" w:bidi="fr-FR"/>
        </w:rPr>
        <w:t>« </w:t>
      </w:r>
      <w:r w:rsidRPr="00DB6FFA">
        <w:rPr>
          <w:lang w:eastAsia="fr-FR" w:bidi="fr-FR"/>
        </w:rPr>
        <w:t>Attendu que la spéc</w:t>
      </w:r>
      <w:r w:rsidRPr="00DB6FFA">
        <w:rPr>
          <w:lang w:eastAsia="fr-FR" w:bidi="fr-FR"/>
        </w:rPr>
        <w:t>i</w:t>
      </w:r>
      <w:r w:rsidRPr="00DB6FFA">
        <w:rPr>
          <w:lang w:eastAsia="fr-FR" w:bidi="fr-FR"/>
        </w:rPr>
        <w:t>ficité du Québec est liée à sa situation de foyer principal, mais non exclusif, des francophones canadiens, et étant donné la dualité fond</w:t>
      </w:r>
      <w:r w:rsidRPr="00DB6FFA">
        <w:rPr>
          <w:lang w:eastAsia="fr-FR" w:bidi="fr-FR"/>
        </w:rPr>
        <w:t>a</w:t>
      </w:r>
      <w:r w:rsidRPr="00DB6FFA">
        <w:rPr>
          <w:lang w:eastAsia="fr-FR" w:bidi="fr-FR"/>
        </w:rPr>
        <w:t>mentale de la fédération [...]</w:t>
      </w:r>
      <w:r>
        <w:rPr>
          <w:lang w:eastAsia="fr-FR" w:bidi="fr-FR"/>
        </w:rPr>
        <w:t> »</w:t>
      </w:r>
    </w:p>
    <w:p w14:paraId="443E37D7" w14:textId="77777777" w:rsidR="00D01ED8" w:rsidRPr="00DB6FFA" w:rsidRDefault="00D01ED8" w:rsidP="00D01ED8">
      <w:pPr>
        <w:spacing w:before="120" w:after="120"/>
        <w:jc w:val="both"/>
      </w:pPr>
      <w:r w:rsidRPr="00DB6FFA">
        <w:rPr>
          <w:lang w:eastAsia="fr-FR" w:bidi="fr-FR"/>
        </w:rPr>
        <w:t>En définitive, ces vingt années de réflexion n’auront exercé sur l’évolution constitutionnelle qu’une faible influence. La solution ret</w:t>
      </w:r>
      <w:r w:rsidRPr="00DB6FFA">
        <w:rPr>
          <w:lang w:eastAsia="fr-FR" w:bidi="fr-FR"/>
        </w:rPr>
        <w:t>e</w:t>
      </w:r>
      <w:r w:rsidRPr="00DB6FFA">
        <w:rPr>
          <w:lang w:eastAsia="fr-FR" w:bidi="fr-FR"/>
        </w:rPr>
        <w:t xml:space="preserve">nue sera celle de la majorité anglophone, imposée au Québec dans la nuit du 4 au 5 novembre 1981 et mise en œuvre par la </w:t>
      </w:r>
      <w:r w:rsidRPr="00E63C40">
        <w:rPr>
          <w:i/>
        </w:rPr>
        <w:t>Loi constit</w:t>
      </w:r>
      <w:r w:rsidRPr="00E63C40">
        <w:rPr>
          <w:i/>
        </w:rPr>
        <w:t>u</w:t>
      </w:r>
      <w:r w:rsidRPr="00E63C40">
        <w:rPr>
          <w:i/>
        </w:rPr>
        <w:t>tionnelle</w:t>
      </w:r>
      <w:r w:rsidRPr="00E63C40">
        <w:rPr>
          <w:i/>
          <w:lang w:eastAsia="fr-FR" w:bidi="fr-FR"/>
        </w:rPr>
        <w:t xml:space="preserve"> du 17 avril 1982</w:t>
      </w:r>
      <w:r>
        <w:rPr>
          <w:lang w:eastAsia="fr-FR" w:bidi="fr-FR"/>
        </w:rPr>
        <w:t> </w:t>
      </w:r>
      <w:r>
        <w:rPr>
          <w:rStyle w:val="Appelnotedebasdep"/>
          <w:lang w:eastAsia="fr-FR" w:bidi="fr-FR"/>
        </w:rPr>
        <w:footnoteReference w:id="10"/>
      </w:r>
      <w:r w:rsidRPr="00DB6FFA">
        <w:rPr>
          <w:lang w:eastAsia="fr-FR" w:bidi="fr-FR"/>
        </w:rPr>
        <w:t xml:space="preserve">, qu’on tentera ensuite de corriger par </w:t>
      </w:r>
      <w:r>
        <w:rPr>
          <w:lang w:eastAsia="fr-FR" w:bidi="fr-FR"/>
        </w:rPr>
        <w:t>l’</w:t>
      </w:r>
      <w:r w:rsidRPr="00E63C40">
        <w:rPr>
          <w:i/>
        </w:rPr>
        <w:t>Accord constitutionnel du 3 juin 1987</w:t>
      </w:r>
      <w:r w:rsidRPr="00DB6FFA">
        <w:t>,</w:t>
      </w:r>
      <w:r w:rsidRPr="00DB6FFA">
        <w:rPr>
          <w:lang w:eastAsia="fr-FR" w:bidi="fr-FR"/>
        </w:rPr>
        <w:t xml:space="preserve"> l</w:t>
      </w:r>
      <w:r w:rsidRPr="00DB6FFA">
        <w:rPr>
          <w:lang w:eastAsia="fr-FR" w:bidi="fr-FR"/>
        </w:rPr>
        <w:t>e</w:t>
      </w:r>
      <w:r w:rsidRPr="00DB6FFA">
        <w:rPr>
          <w:lang w:eastAsia="fr-FR" w:bidi="fr-FR"/>
        </w:rPr>
        <w:t>quel, rappelons-le, n’est pas entré en vigueur</w:t>
      </w:r>
      <w:r>
        <w:rPr>
          <w:lang w:eastAsia="fr-FR" w:bidi="fr-FR"/>
        </w:rPr>
        <w:t> </w:t>
      </w:r>
      <w:r>
        <w:rPr>
          <w:rStyle w:val="Appelnotedebasdep"/>
          <w:lang w:eastAsia="fr-FR" w:bidi="fr-FR"/>
        </w:rPr>
        <w:footnoteReference w:id="11"/>
      </w:r>
      <w:r w:rsidRPr="00DB6FFA">
        <w:rPr>
          <w:lang w:eastAsia="fr-FR" w:bidi="fr-FR"/>
        </w:rPr>
        <w:t>.</w:t>
      </w:r>
    </w:p>
    <w:p w14:paraId="21F11B1C" w14:textId="77777777" w:rsidR="00D01ED8" w:rsidRPr="00DB6FFA" w:rsidRDefault="00D01ED8" w:rsidP="00D01ED8">
      <w:pPr>
        <w:spacing w:before="120" w:after="120"/>
        <w:jc w:val="both"/>
      </w:pPr>
      <w:r w:rsidRPr="00DB6FFA">
        <w:rPr>
          <w:lang w:eastAsia="fr-FR" w:bidi="fr-FR"/>
        </w:rPr>
        <w:t xml:space="preserve">La nouvelle </w:t>
      </w:r>
      <w:r w:rsidRPr="00E63C40">
        <w:rPr>
          <w:i/>
        </w:rPr>
        <w:t>Loi constitutionnelle de 1982</w:t>
      </w:r>
      <w:r w:rsidRPr="00DB6FFA">
        <w:t>,</w:t>
      </w:r>
      <w:r w:rsidRPr="00DB6FFA">
        <w:rPr>
          <w:lang w:eastAsia="fr-FR" w:bidi="fr-FR"/>
        </w:rPr>
        <w:t xml:space="preserve"> adoptée dans la foulée du r</w:t>
      </w:r>
      <w:r w:rsidRPr="00DB6FFA">
        <w:rPr>
          <w:lang w:eastAsia="fr-FR" w:bidi="fr-FR"/>
        </w:rPr>
        <w:t>é</w:t>
      </w:r>
      <w:r w:rsidRPr="00DB6FFA">
        <w:rPr>
          <w:lang w:eastAsia="fr-FR" w:bidi="fr-FR"/>
        </w:rPr>
        <w:t>férendum, marque en effet un cran d’arrêt dans l’évolution de l’État québ</w:t>
      </w:r>
      <w:r w:rsidRPr="00DB6FFA">
        <w:rPr>
          <w:lang w:eastAsia="fr-FR" w:bidi="fr-FR"/>
        </w:rPr>
        <w:t>é</w:t>
      </w:r>
      <w:r w:rsidRPr="00DB6FFA">
        <w:rPr>
          <w:lang w:eastAsia="fr-FR" w:bidi="fr-FR"/>
        </w:rPr>
        <w:t xml:space="preserve">cois. Il n’y est pas question de </w:t>
      </w:r>
      <w:r>
        <w:rPr>
          <w:lang w:eastAsia="fr-FR" w:bidi="fr-FR"/>
        </w:rPr>
        <w:t>« </w:t>
      </w:r>
      <w:r w:rsidRPr="00DB6FFA">
        <w:rPr>
          <w:lang w:eastAsia="fr-FR" w:bidi="fr-FR"/>
        </w:rPr>
        <w:t>société distincte</w:t>
      </w:r>
      <w:r>
        <w:rPr>
          <w:lang w:eastAsia="fr-FR" w:bidi="fr-FR"/>
        </w:rPr>
        <w:t> »</w:t>
      </w:r>
      <w:r w:rsidRPr="00DB6FFA">
        <w:rPr>
          <w:lang w:eastAsia="fr-FR" w:bidi="fr-FR"/>
        </w:rPr>
        <w:t>, encore moins d’un statut distin</w:t>
      </w:r>
      <w:r w:rsidRPr="00DB6FFA">
        <w:rPr>
          <w:lang w:eastAsia="fr-FR" w:bidi="fr-FR"/>
        </w:rPr>
        <w:t>c</w:t>
      </w:r>
      <w:r w:rsidRPr="00DB6FFA">
        <w:rPr>
          <w:lang w:eastAsia="fr-FR" w:bidi="fr-FR"/>
        </w:rPr>
        <w:t>tif ou particulier pour l’État où cette société est majoritaire</w:t>
      </w:r>
      <w:r>
        <w:rPr>
          <w:lang w:eastAsia="fr-FR" w:bidi="fr-FR"/>
        </w:rPr>
        <w:t> ;</w:t>
      </w:r>
      <w:r w:rsidRPr="00DB6FFA">
        <w:rPr>
          <w:lang w:eastAsia="fr-FR" w:bidi="fr-FR"/>
        </w:rPr>
        <w:t xml:space="preserve"> au contraire, en invalidant a posteriori certaines di</w:t>
      </w:r>
      <w:r w:rsidRPr="00DB6FFA">
        <w:rPr>
          <w:lang w:eastAsia="fr-FR" w:bidi="fr-FR"/>
        </w:rPr>
        <w:t>s</w:t>
      </w:r>
      <w:r w:rsidRPr="00DB6FFA">
        <w:rPr>
          <w:lang w:eastAsia="fr-FR" w:bidi="fr-FR"/>
        </w:rPr>
        <w:t xml:space="preserve">positions de la </w:t>
      </w:r>
      <w:r w:rsidRPr="00E63C40">
        <w:rPr>
          <w:i/>
        </w:rPr>
        <w:t>Charte de la langue frança</w:t>
      </w:r>
      <w:r w:rsidRPr="00E63C40">
        <w:rPr>
          <w:i/>
        </w:rPr>
        <w:t>i</w:t>
      </w:r>
      <w:r w:rsidRPr="00E63C40">
        <w:rPr>
          <w:i/>
        </w:rPr>
        <w:t>se</w:t>
      </w:r>
      <w:r w:rsidRPr="00DB6FFA">
        <w:rPr>
          <w:lang w:eastAsia="fr-FR" w:bidi="fr-FR"/>
        </w:rPr>
        <w:t xml:space="preserve"> relatives à la langue d’enseignement, la Constitution lui nie implicitement cette spécificité. Quant au droit de veto exercé jusque-là par celui-ci à l’encontre de tentatives antérieures de modification constitutio</w:t>
      </w:r>
      <w:r w:rsidRPr="00DB6FFA">
        <w:rPr>
          <w:lang w:eastAsia="fr-FR" w:bidi="fr-FR"/>
        </w:rPr>
        <w:t>n</w:t>
      </w:r>
      <w:r w:rsidRPr="00DB6FFA">
        <w:rPr>
          <w:lang w:eastAsia="fr-FR" w:bidi="fr-FR"/>
        </w:rPr>
        <w:t>nelle (en 1965 et en 1971), les tribunaux achèvent le travail en décidant que ce droit n’a jamais existé</w:t>
      </w:r>
      <w:r>
        <w:rPr>
          <w:lang w:eastAsia="fr-FR" w:bidi="fr-FR"/>
        </w:rPr>
        <w:t> </w:t>
      </w:r>
      <w:r>
        <w:rPr>
          <w:rStyle w:val="Appelnotedebasdep"/>
          <w:lang w:eastAsia="fr-FR" w:bidi="fr-FR"/>
        </w:rPr>
        <w:footnoteReference w:id="12"/>
      </w:r>
      <w:r w:rsidRPr="00DB6FFA">
        <w:rPr>
          <w:lang w:eastAsia="fr-FR" w:bidi="fr-FR"/>
        </w:rPr>
        <w:t>. On ne s’étonnera pas que le Québec ait refusé forme</w:t>
      </w:r>
      <w:r w:rsidRPr="00DB6FFA">
        <w:rPr>
          <w:lang w:eastAsia="fr-FR" w:bidi="fr-FR"/>
        </w:rPr>
        <w:t>l</w:t>
      </w:r>
      <w:r w:rsidRPr="00DB6FFA">
        <w:rPr>
          <w:lang w:eastAsia="fr-FR" w:bidi="fr-FR"/>
        </w:rPr>
        <w:t>lement de reconnaître la légitimité des événements de 1981 et de 1982.</w:t>
      </w:r>
    </w:p>
    <w:p w14:paraId="39A9B925" w14:textId="77777777" w:rsidR="00D01ED8" w:rsidRPr="00DB6FFA" w:rsidRDefault="00D01ED8" w:rsidP="00D01ED8">
      <w:pPr>
        <w:spacing w:before="120" w:after="120"/>
        <w:jc w:val="both"/>
      </w:pPr>
      <w:r w:rsidRPr="00DB6FFA">
        <w:rPr>
          <w:lang w:eastAsia="fr-FR" w:bidi="fr-FR"/>
        </w:rPr>
        <w:t>Pense-t-on avoir remédié à ce qui constitue une sorte de coup d’État légal</w:t>
      </w:r>
      <w:r w:rsidRPr="00DB6FFA">
        <w:rPr>
          <w:lang w:eastAsia="fr-FR" w:bidi="fr-FR"/>
        </w:rPr>
        <w:t>i</w:t>
      </w:r>
      <w:r w:rsidRPr="00DB6FFA">
        <w:rPr>
          <w:lang w:eastAsia="fr-FR" w:bidi="fr-FR"/>
        </w:rPr>
        <w:t>sé en adoptant l’Accord du lac Meech</w:t>
      </w:r>
      <w:r>
        <w:rPr>
          <w:lang w:eastAsia="fr-FR" w:bidi="fr-FR"/>
        </w:rPr>
        <w:t> ?</w:t>
      </w:r>
      <w:r w:rsidRPr="00DB6FFA">
        <w:rPr>
          <w:lang w:eastAsia="fr-FR" w:bidi="fr-FR"/>
        </w:rPr>
        <w:t xml:space="preserve"> Celui-ci</w:t>
      </w:r>
      <w:r>
        <w:t xml:space="preserve"> [205] </w:t>
      </w:r>
      <w:r w:rsidRPr="00DB6FFA">
        <w:rPr>
          <w:lang w:eastAsia="fr-FR" w:bidi="fr-FR"/>
        </w:rPr>
        <w:t xml:space="preserve">reprend l’expression </w:t>
      </w:r>
      <w:r>
        <w:rPr>
          <w:lang w:eastAsia="fr-FR" w:bidi="fr-FR"/>
        </w:rPr>
        <w:t>« </w:t>
      </w:r>
      <w:r w:rsidRPr="00DB6FFA">
        <w:rPr>
          <w:lang w:eastAsia="fr-FR" w:bidi="fr-FR"/>
        </w:rPr>
        <w:t>société distincte</w:t>
      </w:r>
      <w:r>
        <w:rPr>
          <w:lang w:eastAsia="fr-FR" w:bidi="fr-FR"/>
        </w:rPr>
        <w:t> »</w:t>
      </w:r>
      <w:r w:rsidRPr="00DB6FFA">
        <w:rPr>
          <w:lang w:eastAsia="fr-FR" w:bidi="fr-FR"/>
        </w:rPr>
        <w:t xml:space="preserve"> et en fait même un critère d’interprétation constitutionnelle, en prenant soin toutefois de le s</w:t>
      </w:r>
      <w:r w:rsidRPr="00DB6FFA">
        <w:rPr>
          <w:lang w:eastAsia="fr-FR" w:bidi="fr-FR"/>
        </w:rPr>
        <w:t>u</w:t>
      </w:r>
      <w:r w:rsidRPr="00DB6FFA">
        <w:rPr>
          <w:lang w:eastAsia="fr-FR" w:bidi="fr-FR"/>
        </w:rPr>
        <w:t>bordonner, fort habilement il est vrai, au critère de la dualité linguist</w:t>
      </w:r>
      <w:r w:rsidRPr="00DB6FFA">
        <w:rPr>
          <w:lang w:eastAsia="fr-FR" w:bidi="fr-FR"/>
        </w:rPr>
        <w:t>i</w:t>
      </w:r>
      <w:r w:rsidRPr="00DB6FFA">
        <w:rPr>
          <w:lang w:eastAsia="fr-FR" w:bidi="fr-FR"/>
        </w:rPr>
        <w:t>que, lequel, contra</w:t>
      </w:r>
      <w:r w:rsidRPr="00DB6FFA">
        <w:rPr>
          <w:lang w:eastAsia="fr-FR" w:bidi="fr-FR"/>
        </w:rPr>
        <w:t>i</w:t>
      </w:r>
      <w:r w:rsidRPr="00DB6FFA">
        <w:rPr>
          <w:lang w:eastAsia="fr-FR" w:bidi="fr-FR"/>
        </w:rPr>
        <w:t xml:space="preserve">rement au premier, </w:t>
      </w:r>
      <w:r>
        <w:rPr>
          <w:lang w:eastAsia="fr-FR" w:bidi="fr-FR"/>
        </w:rPr>
        <w:t>« </w:t>
      </w:r>
      <w:r w:rsidRPr="00DB6FFA">
        <w:rPr>
          <w:lang w:eastAsia="fr-FR" w:bidi="fr-FR"/>
        </w:rPr>
        <w:t xml:space="preserve">constitue une </w:t>
      </w:r>
      <w:r w:rsidRPr="00E63C40">
        <w:rPr>
          <w:i/>
        </w:rPr>
        <w:t>caractéristique fondamentale</w:t>
      </w:r>
      <w:r w:rsidRPr="00DB6FFA">
        <w:rPr>
          <w:lang w:eastAsia="fr-FR" w:bidi="fr-FR"/>
        </w:rPr>
        <w:t xml:space="preserve"> du </w:t>
      </w:r>
      <w:r>
        <w:rPr>
          <w:lang w:eastAsia="fr-FR" w:bidi="fr-FR"/>
        </w:rPr>
        <w:t>Canada </w:t>
      </w:r>
      <w:r>
        <w:rPr>
          <w:rStyle w:val="Appelnotedebasdep"/>
          <w:lang w:eastAsia="fr-FR" w:bidi="fr-FR"/>
        </w:rPr>
        <w:footnoteReference w:id="13"/>
      </w:r>
      <w:r>
        <w:rPr>
          <w:lang w:eastAsia="fr-FR" w:bidi="fr-FR"/>
        </w:rPr>
        <w:t> »</w:t>
      </w:r>
      <w:r w:rsidRPr="00DB6FFA">
        <w:rPr>
          <w:lang w:eastAsia="fr-FR" w:bidi="fr-FR"/>
        </w:rPr>
        <w:t>, donc du Québec, de sorte que, en cas de conflit entre les deux critères devant les tribunaux, la dualité can</w:t>
      </w:r>
      <w:r w:rsidRPr="00DB6FFA">
        <w:rPr>
          <w:lang w:eastAsia="fr-FR" w:bidi="fr-FR"/>
        </w:rPr>
        <w:t>a</w:t>
      </w:r>
      <w:r w:rsidRPr="00DB6FFA">
        <w:rPr>
          <w:lang w:eastAsia="fr-FR" w:bidi="fr-FR"/>
        </w:rPr>
        <w:t>dienne et québécoise aura toutes les chances de l’emporter sur la sp</w:t>
      </w:r>
      <w:r w:rsidRPr="00DB6FFA">
        <w:rPr>
          <w:lang w:eastAsia="fr-FR" w:bidi="fr-FR"/>
        </w:rPr>
        <w:t>é</w:t>
      </w:r>
      <w:r w:rsidRPr="00DB6FFA">
        <w:rPr>
          <w:lang w:eastAsia="fr-FR" w:bidi="fr-FR"/>
        </w:rPr>
        <w:t xml:space="preserve">cificité. De surcroît, on s’illusionne grandement si l’on compte sur le droit de retrait général accordé aux provinces, avec </w:t>
      </w:r>
      <w:r>
        <w:rPr>
          <w:lang w:eastAsia="fr-FR" w:bidi="fr-FR"/>
        </w:rPr>
        <w:t>« </w:t>
      </w:r>
      <w:r w:rsidRPr="00DB6FFA">
        <w:rPr>
          <w:lang w:eastAsia="fr-FR" w:bidi="fr-FR"/>
        </w:rPr>
        <w:t>juste</w:t>
      </w:r>
      <w:r>
        <w:rPr>
          <w:lang w:eastAsia="fr-FR" w:bidi="fr-FR"/>
        </w:rPr>
        <w:t> »</w:t>
      </w:r>
      <w:r w:rsidRPr="00DB6FFA">
        <w:rPr>
          <w:lang w:eastAsia="fr-FR" w:bidi="fr-FR"/>
        </w:rPr>
        <w:t xml:space="preserve"> compe</w:t>
      </w:r>
      <w:r w:rsidRPr="00DB6FFA">
        <w:rPr>
          <w:lang w:eastAsia="fr-FR" w:bidi="fr-FR"/>
        </w:rPr>
        <w:t>n</w:t>
      </w:r>
      <w:r w:rsidRPr="00DB6FFA">
        <w:rPr>
          <w:lang w:eastAsia="fr-FR" w:bidi="fr-FR"/>
        </w:rPr>
        <w:t>sation financière, pour asseoir quelque statut di</w:t>
      </w:r>
      <w:r w:rsidRPr="00DB6FFA">
        <w:rPr>
          <w:lang w:eastAsia="fr-FR" w:bidi="fr-FR"/>
        </w:rPr>
        <w:t>s</w:t>
      </w:r>
      <w:r w:rsidRPr="00DB6FFA">
        <w:rPr>
          <w:lang w:eastAsia="fr-FR" w:bidi="fr-FR"/>
        </w:rPr>
        <w:t>tinctif ou particulier du Québec. Ce mécanisme est essentiellement défensif</w:t>
      </w:r>
      <w:r>
        <w:rPr>
          <w:lang w:eastAsia="fr-FR" w:bidi="fr-FR"/>
        </w:rPr>
        <w:t> :</w:t>
      </w:r>
      <w:r w:rsidRPr="00DB6FFA">
        <w:rPr>
          <w:lang w:eastAsia="fr-FR" w:bidi="fr-FR"/>
        </w:rPr>
        <w:t xml:space="preserve"> il permet d’échapper à la centralisation, mais non d’obtenir les compétences sociales, économiques et culturelles que le Québec revendique </w:t>
      </w:r>
      <w:r>
        <w:rPr>
          <w:lang w:eastAsia="fr-FR" w:bidi="fr-FR"/>
        </w:rPr>
        <w:t>—</w:t>
      </w:r>
      <w:r w:rsidRPr="00DB6FFA">
        <w:rPr>
          <w:lang w:eastAsia="fr-FR" w:bidi="fr-FR"/>
        </w:rPr>
        <w:t xml:space="preserve"> ou revendiquait </w:t>
      </w:r>
      <w:r>
        <w:rPr>
          <w:lang w:eastAsia="fr-FR" w:bidi="fr-FR"/>
        </w:rPr>
        <w:t>—</w:t>
      </w:r>
      <w:r w:rsidRPr="00DB6FFA">
        <w:rPr>
          <w:lang w:eastAsia="fr-FR" w:bidi="fr-FR"/>
        </w:rPr>
        <w:t>, et dont la liste n’a fait que s’allonger depuis les a</w:t>
      </w:r>
      <w:r w:rsidRPr="00DB6FFA">
        <w:rPr>
          <w:lang w:eastAsia="fr-FR" w:bidi="fr-FR"/>
        </w:rPr>
        <w:t>n</w:t>
      </w:r>
      <w:r w:rsidRPr="00DB6FFA">
        <w:rPr>
          <w:lang w:eastAsia="fr-FR" w:bidi="fr-FR"/>
        </w:rPr>
        <w:t>nées 1930. La démarche constitutionnelle de 1987, acceptée par le gouvernement du Québec, est à sens unique</w:t>
      </w:r>
      <w:r>
        <w:rPr>
          <w:lang w:eastAsia="fr-FR" w:bidi="fr-FR"/>
        </w:rPr>
        <w:t> :</w:t>
      </w:r>
      <w:r w:rsidRPr="00DB6FFA">
        <w:rPr>
          <w:lang w:eastAsia="fr-FR" w:bidi="fr-FR"/>
        </w:rPr>
        <w:t xml:space="preserve"> l’article 9 ne le dissim</w:t>
      </w:r>
      <w:r w:rsidRPr="00DB6FFA">
        <w:rPr>
          <w:lang w:eastAsia="fr-FR" w:bidi="fr-FR"/>
        </w:rPr>
        <w:t>u</w:t>
      </w:r>
      <w:r w:rsidRPr="00DB6FFA">
        <w:rPr>
          <w:lang w:eastAsia="fr-FR" w:bidi="fr-FR"/>
        </w:rPr>
        <w:t>le m</w:t>
      </w:r>
      <w:r w:rsidRPr="00DB6FFA">
        <w:rPr>
          <w:lang w:eastAsia="fr-FR" w:bidi="fr-FR"/>
        </w:rPr>
        <w:t>ê</w:t>
      </w:r>
      <w:r w:rsidRPr="00DB6FFA">
        <w:rPr>
          <w:lang w:eastAsia="fr-FR" w:bidi="fr-FR"/>
        </w:rPr>
        <w:t xml:space="preserve">me pas lorsqu’il la décrit comme s’appliquant au </w:t>
      </w:r>
      <w:r>
        <w:rPr>
          <w:lang w:eastAsia="fr-FR" w:bidi="fr-FR"/>
        </w:rPr>
        <w:t>« </w:t>
      </w:r>
      <w:r w:rsidRPr="00DB6FFA">
        <w:rPr>
          <w:lang w:eastAsia="fr-FR" w:bidi="fr-FR"/>
        </w:rPr>
        <w:t>transfert de compéte</w:t>
      </w:r>
      <w:r w:rsidRPr="00DB6FFA">
        <w:rPr>
          <w:lang w:eastAsia="fr-FR" w:bidi="fr-FR"/>
        </w:rPr>
        <w:t>n</w:t>
      </w:r>
      <w:r w:rsidRPr="00DB6FFA">
        <w:rPr>
          <w:lang w:eastAsia="fr-FR" w:bidi="fr-FR"/>
        </w:rPr>
        <w:t>ces législatives provinciales au Parlement [fédéral]</w:t>
      </w:r>
      <w:r>
        <w:rPr>
          <w:lang w:eastAsia="fr-FR" w:bidi="fr-FR"/>
        </w:rPr>
        <w:t> »</w:t>
      </w:r>
      <w:r w:rsidRPr="00DB6FFA">
        <w:rPr>
          <w:lang w:eastAsia="fr-FR" w:bidi="fr-FR"/>
        </w:rPr>
        <w:t>.</w:t>
      </w:r>
    </w:p>
    <w:p w14:paraId="3F308E38" w14:textId="77777777" w:rsidR="00D01ED8" w:rsidRPr="00DB6FFA" w:rsidRDefault="00D01ED8" w:rsidP="00D01ED8">
      <w:pPr>
        <w:spacing w:before="120" w:after="120"/>
        <w:jc w:val="both"/>
      </w:pPr>
      <w:r w:rsidRPr="00DB6FFA">
        <w:rPr>
          <w:lang w:eastAsia="fr-FR" w:bidi="fr-FR"/>
        </w:rPr>
        <w:t>S’il entre en vigueur, l’Accord du 3 juin 1987 fera peser une lourde hypothèque sur l’autonomie du Québec</w:t>
      </w:r>
      <w:r>
        <w:rPr>
          <w:lang w:eastAsia="fr-FR" w:bidi="fr-FR"/>
        </w:rPr>
        <w:t> :</w:t>
      </w:r>
      <w:r w:rsidRPr="00DB6FFA">
        <w:rPr>
          <w:lang w:eastAsia="fr-FR" w:bidi="fr-FR"/>
        </w:rPr>
        <w:t xml:space="preserve"> celui-ci se trouvera en que</w:t>
      </w:r>
      <w:r w:rsidRPr="00DB6FFA">
        <w:rPr>
          <w:lang w:eastAsia="fr-FR" w:bidi="fr-FR"/>
        </w:rPr>
        <w:t>l</w:t>
      </w:r>
      <w:r w:rsidRPr="00DB6FFA">
        <w:rPr>
          <w:lang w:eastAsia="fr-FR" w:bidi="fr-FR"/>
        </w:rPr>
        <w:t>que sorte ve</w:t>
      </w:r>
      <w:r w:rsidRPr="00DB6FFA">
        <w:rPr>
          <w:lang w:eastAsia="fr-FR" w:bidi="fr-FR"/>
        </w:rPr>
        <w:t>r</w:t>
      </w:r>
      <w:r w:rsidRPr="00DB6FFA">
        <w:rPr>
          <w:lang w:eastAsia="fr-FR" w:bidi="fr-FR"/>
        </w:rPr>
        <w:t>rouillé dans ses compétences et pourra tout au plus conserver celles qu’il po</w:t>
      </w:r>
      <w:r w:rsidRPr="00DB6FFA">
        <w:rPr>
          <w:lang w:eastAsia="fr-FR" w:bidi="fr-FR"/>
        </w:rPr>
        <w:t>s</w:t>
      </w:r>
      <w:r w:rsidRPr="00DB6FFA">
        <w:rPr>
          <w:lang w:eastAsia="fr-FR" w:bidi="fr-FR"/>
        </w:rPr>
        <w:t xml:space="preserve">sède déjà, à moins que le pouvoir fédéral de dépenser ne vienne lui dicter des </w:t>
      </w:r>
      <w:r>
        <w:rPr>
          <w:lang w:eastAsia="fr-FR" w:bidi="fr-FR"/>
        </w:rPr>
        <w:t>« </w:t>
      </w:r>
      <w:r w:rsidRPr="00DB6FFA">
        <w:rPr>
          <w:lang w:eastAsia="fr-FR" w:bidi="fr-FR"/>
        </w:rPr>
        <w:t>objectifs nationaux</w:t>
      </w:r>
      <w:r>
        <w:rPr>
          <w:lang w:eastAsia="fr-FR" w:bidi="fr-FR"/>
        </w:rPr>
        <w:t> </w:t>
      </w:r>
      <w:r>
        <w:rPr>
          <w:rStyle w:val="Appelnotedebasdep"/>
          <w:lang w:eastAsia="fr-FR" w:bidi="fr-FR"/>
        </w:rPr>
        <w:footnoteReference w:id="14"/>
      </w:r>
      <w:r>
        <w:rPr>
          <w:lang w:eastAsia="fr-FR" w:bidi="fr-FR"/>
        </w:rPr>
        <w:t> »</w:t>
      </w:r>
      <w:r w:rsidRPr="00DB6FFA">
        <w:rPr>
          <w:lang w:eastAsia="fr-FR" w:bidi="fr-FR"/>
        </w:rPr>
        <w:t>. Nous s</w:t>
      </w:r>
      <w:r w:rsidRPr="00DB6FFA">
        <w:rPr>
          <w:lang w:eastAsia="fr-FR" w:bidi="fr-FR"/>
        </w:rPr>
        <w:t>e</w:t>
      </w:r>
      <w:r w:rsidRPr="00DB6FFA">
        <w:rPr>
          <w:lang w:eastAsia="fr-FR" w:bidi="fr-FR"/>
        </w:rPr>
        <w:t>rions, pour ainsi dire, devant la fin officielle de la Révolution tranqui</w:t>
      </w:r>
      <w:r w:rsidRPr="00DB6FFA">
        <w:rPr>
          <w:lang w:eastAsia="fr-FR" w:bidi="fr-FR"/>
        </w:rPr>
        <w:t>l</w:t>
      </w:r>
      <w:r w:rsidRPr="00DB6FFA">
        <w:rPr>
          <w:lang w:eastAsia="fr-FR" w:bidi="fr-FR"/>
        </w:rPr>
        <w:t>le, constitutionnalisée avec l’accord du Qu</w:t>
      </w:r>
      <w:r w:rsidRPr="00DB6FFA">
        <w:rPr>
          <w:lang w:eastAsia="fr-FR" w:bidi="fr-FR"/>
        </w:rPr>
        <w:t>é</w:t>
      </w:r>
      <w:r w:rsidRPr="00DB6FFA">
        <w:rPr>
          <w:lang w:eastAsia="fr-FR" w:bidi="fr-FR"/>
        </w:rPr>
        <w:t>bec.</w:t>
      </w:r>
    </w:p>
    <w:p w14:paraId="44CCC2A6" w14:textId="77777777" w:rsidR="00D01ED8" w:rsidRPr="00DB6FFA" w:rsidRDefault="00D01ED8" w:rsidP="00D01ED8">
      <w:pPr>
        <w:spacing w:before="120" w:after="120"/>
        <w:jc w:val="both"/>
      </w:pPr>
      <w:r w:rsidRPr="00DB6FFA">
        <w:rPr>
          <w:lang w:eastAsia="fr-FR" w:bidi="fr-FR"/>
        </w:rPr>
        <w:t>Telle est l’hypothèse avec laquelle il faudra désormais travailler, semble-t-il, si l’Accord entre en vigueur. Et quelle serait l’attitude du gouvernement du Québec si l’Accord constitutionnel n’était pas ratifié par toutes les pr</w:t>
      </w:r>
      <w:r w:rsidRPr="00DB6FFA">
        <w:rPr>
          <w:lang w:eastAsia="fr-FR" w:bidi="fr-FR"/>
        </w:rPr>
        <w:t>o</w:t>
      </w:r>
      <w:r w:rsidRPr="00DB6FFA">
        <w:rPr>
          <w:lang w:eastAsia="fr-FR" w:bidi="fr-FR"/>
        </w:rPr>
        <w:t>vinces anglophones et se trouvait de la sorte remis en question</w:t>
      </w:r>
      <w:r>
        <w:rPr>
          <w:lang w:eastAsia="fr-FR" w:bidi="fr-FR"/>
        </w:rPr>
        <w:t> ?</w:t>
      </w:r>
      <w:r w:rsidRPr="00DB6FFA">
        <w:rPr>
          <w:lang w:eastAsia="fr-FR" w:bidi="fr-FR"/>
        </w:rPr>
        <w:t xml:space="preserve"> Quels sont les facteurs qui</w:t>
      </w:r>
      <w:r>
        <w:t xml:space="preserve"> [206] </w:t>
      </w:r>
      <w:r w:rsidRPr="00DB6FFA">
        <w:rPr>
          <w:lang w:eastAsia="fr-FR" w:bidi="fr-FR"/>
        </w:rPr>
        <w:t>peuvent lui dicter une att</w:t>
      </w:r>
      <w:r w:rsidRPr="00DB6FFA">
        <w:rPr>
          <w:lang w:eastAsia="fr-FR" w:bidi="fr-FR"/>
        </w:rPr>
        <w:t>i</w:t>
      </w:r>
      <w:r w:rsidRPr="00DB6FFA">
        <w:rPr>
          <w:lang w:eastAsia="fr-FR" w:bidi="fr-FR"/>
        </w:rPr>
        <w:t>tude plus ferme ou, au contraire, l’amener à consentir d’autres conce</w:t>
      </w:r>
      <w:r w:rsidRPr="00DB6FFA">
        <w:rPr>
          <w:lang w:eastAsia="fr-FR" w:bidi="fr-FR"/>
        </w:rPr>
        <w:t>s</w:t>
      </w:r>
      <w:r w:rsidRPr="00DB6FFA">
        <w:rPr>
          <w:lang w:eastAsia="fr-FR" w:bidi="fr-FR"/>
        </w:rPr>
        <w:t>sions fondamentales</w:t>
      </w:r>
      <w:r>
        <w:rPr>
          <w:lang w:eastAsia="fr-FR" w:bidi="fr-FR"/>
        </w:rPr>
        <w:t> ?</w:t>
      </w:r>
      <w:r w:rsidRPr="00DB6FFA">
        <w:rPr>
          <w:lang w:eastAsia="fr-FR" w:bidi="fr-FR"/>
        </w:rPr>
        <w:t xml:space="preserve"> Tout cela baigne actuellement dans la plus grande incertitude</w:t>
      </w:r>
      <w:r>
        <w:rPr>
          <w:lang w:eastAsia="fr-FR" w:bidi="fr-FR"/>
        </w:rPr>
        <w:t> ;</w:t>
      </w:r>
      <w:r w:rsidRPr="00DB6FFA">
        <w:rPr>
          <w:lang w:eastAsia="fr-FR" w:bidi="fr-FR"/>
        </w:rPr>
        <w:t xml:space="preserve"> sait-on seul</w:t>
      </w:r>
      <w:r w:rsidRPr="00DB6FFA">
        <w:rPr>
          <w:lang w:eastAsia="fr-FR" w:bidi="fr-FR"/>
        </w:rPr>
        <w:t>e</w:t>
      </w:r>
      <w:r w:rsidRPr="00DB6FFA">
        <w:rPr>
          <w:lang w:eastAsia="fr-FR" w:bidi="fr-FR"/>
        </w:rPr>
        <w:t>ment ce que les Québécois attendent de l’avenir</w:t>
      </w:r>
      <w:r>
        <w:rPr>
          <w:lang w:eastAsia="fr-FR" w:bidi="fr-FR"/>
        </w:rPr>
        <w:t> ?</w:t>
      </w:r>
      <w:r w:rsidRPr="00DB6FFA">
        <w:rPr>
          <w:lang w:eastAsia="fr-FR" w:bidi="fr-FR"/>
        </w:rPr>
        <w:t xml:space="preserve"> Connaît-on suffisamment les fa</w:t>
      </w:r>
      <w:r w:rsidRPr="00DB6FFA">
        <w:rPr>
          <w:lang w:eastAsia="fr-FR" w:bidi="fr-FR"/>
        </w:rPr>
        <w:t>c</w:t>
      </w:r>
      <w:r w:rsidRPr="00DB6FFA">
        <w:rPr>
          <w:lang w:eastAsia="fr-FR" w:bidi="fr-FR"/>
        </w:rPr>
        <w:t>teurs socio-économiques et culturels qui travaillent en profondeur le peuple du Québec</w:t>
      </w:r>
      <w:r>
        <w:rPr>
          <w:lang w:eastAsia="fr-FR" w:bidi="fr-FR"/>
        </w:rPr>
        <w:t> ?</w:t>
      </w:r>
      <w:r w:rsidRPr="00DB6FFA">
        <w:rPr>
          <w:lang w:eastAsia="fr-FR" w:bidi="fr-FR"/>
        </w:rPr>
        <w:t xml:space="preserve"> Le droit futur résultera essentiellement de ce tr</w:t>
      </w:r>
      <w:r w:rsidRPr="00DB6FFA">
        <w:rPr>
          <w:lang w:eastAsia="fr-FR" w:bidi="fr-FR"/>
        </w:rPr>
        <w:t>a</w:t>
      </w:r>
      <w:r w:rsidRPr="00DB6FFA">
        <w:rPr>
          <w:lang w:eastAsia="fr-FR" w:bidi="fr-FR"/>
        </w:rPr>
        <w:t>vail souterrain. Certains éléments de réponse se trouvent sans doute dans la seconde caractéri</w:t>
      </w:r>
      <w:r w:rsidRPr="00DB6FFA">
        <w:rPr>
          <w:lang w:eastAsia="fr-FR" w:bidi="fr-FR"/>
        </w:rPr>
        <w:t>s</w:t>
      </w:r>
      <w:r w:rsidRPr="00DB6FFA">
        <w:rPr>
          <w:lang w:eastAsia="fr-FR" w:bidi="fr-FR"/>
        </w:rPr>
        <w:t>tique majeure de l’évolution de nos instit</w:t>
      </w:r>
      <w:r w:rsidRPr="00DB6FFA">
        <w:rPr>
          <w:lang w:eastAsia="fr-FR" w:bidi="fr-FR"/>
        </w:rPr>
        <w:t>u</w:t>
      </w:r>
      <w:r w:rsidRPr="00DB6FFA">
        <w:rPr>
          <w:lang w:eastAsia="fr-FR" w:bidi="fr-FR"/>
        </w:rPr>
        <w:t>tions</w:t>
      </w:r>
      <w:r>
        <w:rPr>
          <w:lang w:eastAsia="fr-FR" w:bidi="fr-FR"/>
        </w:rPr>
        <w:t> :</w:t>
      </w:r>
      <w:r w:rsidRPr="00DB6FFA">
        <w:rPr>
          <w:lang w:eastAsia="fr-FR" w:bidi="fr-FR"/>
        </w:rPr>
        <w:t xml:space="preserve"> l’accent mis sur la protection des droits individuels, vers l</w:t>
      </w:r>
      <w:r w:rsidRPr="00DB6FFA">
        <w:rPr>
          <w:lang w:eastAsia="fr-FR" w:bidi="fr-FR"/>
        </w:rPr>
        <w:t>a</w:t>
      </w:r>
      <w:r w:rsidRPr="00DB6FFA">
        <w:rPr>
          <w:lang w:eastAsia="fr-FR" w:bidi="fr-FR"/>
        </w:rPr>
        <w:t>quelle nous nous tournons maintenant.</w:t>
      </w:r>
    </w:p>
    <w:p w14:paraId="7E543F01" w14:textId="77777777" w:rsidR="00D01ED8" w:rsidRDefault="00D01ED8" w:rsidP="00D01ED8">
      <w:pPr>
        <w:spacing w:before="120" w:after="120"/>
        <w:jc w:val="both"/>
        <w:rPr>
          <w:lang w:eastAsia="fr-FR" w:bidi="fr-FR"/>
        </w:rPr>
      </w:pPr>
    </w:p>
    <w:p w14:paraId="01020E5D" w14:textId="77777777" w:rsidR="00D01ED8" w:rsidRPr="00DB6FFA" w:rsidRDefault="00D01ED8" w:rsidP="00D01ED8">
      <w:pPr>
        <w:pStyle w:val="a"/>
      </w:pPr>
      <w:r w:rsidRPr="00DB6FFA">
        <w:t>L’AFFERMISSEMENT DES DROITS ET LIBERTÉS</w:t>
      </w:r>
      <w:r>
        <w:br/>
      </w:r>
      <w:r w:rsidRPr="00DB6FFA">
        <w:t>DE LA PERSONNE</w:t>
      </w:r>
    </w:p>
    <w:p w14:paraId="46EDC925" w14:textId="77777777" w:rsidR="00D01ED8" w:rsidRDefault="00D01ED8" w:rsidP="00D01ED8">
      <w:pPr>
        <w:spacing w:before="120" w:after="120"/>
        <w:jc w:val="both"/>
        <w:rPr>
          <w:lang w:eastAsia="fr-FR" w:bidi="fr-FR"/>
        </w:rPr>
      </w:pPr>
    </w:p>
    <w:p w14:paraId="2B4A7599" w14:textId="77777777" w:rsidR="00D01ED8" w:rsidRPr="00DB6FFA" w:rsidRDefault="00D01ED8" w:rsidP="00D01ED8">
      <w:pPr>
        <w:spacing w:before="120" w:after="120"/>
        <w:jc w:val="both"/>
      </w:pPr>
      <w:r w:rsidRPr="00DB6FFA">
        <w:rPr>
          <w:lang w:eastAsia="fr-FR" w:bidi="fr-FR"/>
        </w:rPr>
        <w:t>Le dernier quart de siècle de l’évolution constitutionnelle du Qu</w:t>
      </w:r>
      <w:r w:rsidRPr="00DB6FFA">
        <w:rPr>
          <w:lang w:eastAsia="fr-FR" w:bidi="fr-FR"/>
        </w:rPr>
        <w:t>é</w:t>
      </w:r>
      <w:r w:rsidRPr="00DB6FFA">
        <w:rPr>
          <w:lang w:eastAsia="fr-FR" w:bidi="fr-FR"/>
        </w:rPr>
        <w:t>bec et du Canada est profondément marqué par l’intervention législ</w:t>
      </w:r>
      <w:r w:rsidRPr="00DB6FFA">
        <w:rPr>
          <w:lang w:eastAsia="fr-FR" w:bidi="fr-FR"/>
        </w:rPr>
        <w:t>a</w:t>
      </w:r>
      <w:r w:rsidRPr="00DB6FFA">
        <w:rPr>
          <w:lang w:eastAsia="fr-FR" w:bidi="fr-FR"/>
        </w:rPr>
        <w:t>tive et constitutio</w:t>
      </w:r>
      <w:r w:rsidRPr="00DB6FFA">
        <w:rPr>
          <w:lang w:eastAsia="fr-FR" w:bidi="fr-FR"/>
        </w:rPr>
        <w:t>n</w:t>
      </w:r>
      <w:r w:rsidRPr="00DB6FFA">
        <w:rPr>
          <w:lang w:eastAsia="fr-FR" w:bidi="fr-FR"/>
        </w:rPr>
        <w:t xml:space="preserve">nelle en faveur de la sauvegarde des droits de la personne devant l’appareil de l’État, démarche qui se présente, à bien des égards, comme une réponse ou une réaction à la croissance de cet appareil. Ce phénomène, en effet, est apparu avec la </w:t>
      </w:r>
      <w:r w:rsidRPr="00DB6FFA">
        <w:t>Déclaration c</w:t>
      </w:r>
      <w:r w:rsidRPr="00DB6FFA">
        <w:t>a</w:t>
      </w:r>
      <w:r w:rsidRPr="00DB6FFA">
        <w:t>nadienne des droits</w:t>
      </w:r>
      <w:r>
        <w:rPr>
          <w:lang w:eastAsia="fr-FR" w:bidi="fr-FR"/>
        </w:rPr>
        <w:t xml:space="preserve"> de 1</w:t>
      </w:r>
      <w:r w:rsidRPr="00DB6FFA">
        <w:rPr>
          <w:lang w:eastAsia="fr-FR" w:bidi="fr-FR"/>
        </w:rPr>
        <w:t>960</w:t>
      </w:r>
      <w:r>
        <w:rPr>
          <w:lang w:eastAsia="fr-FR" w:bidi="fr-FR"/>
        </w:rPr>
        <w:t> </w:t>
      </w:r>
      <w:r>
        <w:rPr>
          <w:rStyle w:val="Appelnotedebasdep"/>
          <w:lang w:eastAsia="fr-FR" w:bidi="fr-FR"/>
        </w:rPr>
        <w:footnoteReference w:id="15"/>
      </w:r>
      <w:r w:rsidRPr="00DB6FFA">
        <w:rPr>
          <w:lang w:eastAsia="fr-FR" w:bidi="fr-FR"/>
        </w:rPr>
        <w:t>, texte de portée purement législative, certains droits et libertés n’ayant accédé à la protection constitutio</w:t>
      </w:r>
      <w:r w:rsidRPr="00DB6FFA">
        <w:rPr>
          <w:lang w:eastAsia="fr-FR" w:bidi="fr-FR"/>
        </w:rPr>
        <w:t>n</w:t>
      </w:r>
      <w:r w:rsidRPr="00DB6FFA">
        <w:rPr>
          <w:lang w:eastAsia="fr-FR" w:bidi="fr-FR"/>
        </w:rPr>
        <w:t>nelle qu’en 1982</w:t>
      </w:r>
      <w:r>
        <w:rPr>
          <w:lang w:eastAsia="fr-FR" w:bidi="fr-FR"/>
        </w:rPr>
        <w:t> </w:t>
      </w:r>
      <w:r>
        <w:rPr>
          <w:rStyle w:val="Appelnotedebasdep"/>
          <w:lang w:eastAsia="fr-FR" w:bidi="fr-FR"/>
        </w:rPr>
        <w:footnoteReference w:id="16"/>
      </w:r>
      <w:r w:rsidRPr="00DB6FFA">
        <w:rPr>
          <w:lang w:eastAsia="fr-FR" w:bidi="fr-FR"/>
        </w:rPr>
        <w:t>, tandis qu’au Québec la possibilité de constitutionnal</w:t>
      </w:r>
      <w:r w:rsidRPr="00DB6FFA">
        <w:rPr>
          <w:lang w:eastAsia="fr-FR" w:bidi="fr-FR"/>
        </w:rPr>
        <w:t>i</w:t>
      </w:r>
      <w:r w:rsidRPr="00DB6FFA">
        <w:rPr>
          <w:lang w:eastAsia="fr-FR" w:bidi="fr-FR"/>
        </w:rPr>
        <w:t>ser les attributs de la personne, évoquée pour la pre</w:t>
      </w:r>
      <w:r>
        <w:rPr>
          <w:lang w:eastAsia="fr-FR" w:bidi="fr-FR"/>
        </w:rPr>
        <w:t>mière fois au début des années 1</w:t>
      </w:r>
      <w:r w:rsidRPr="00DB6FFA">
        <w:rPr>
          <w:lang w:eastAsia="fr-FR" w:bidi="fr-FR"/>
        </w:rPr>
        <w:t>960</w:t>
      </w:r>
      <w:r>
        <w:rPr>
          <w:lang w:eastAsia="fr-FR" w:bidi="fr-FR"/>
        </w:rPr>
        <w:t> </w:t>
      </w:r>
      <w:r>
        <w:rPr>
          <w:rStyle w:val="Appelnotedebasdep"/>
          <w:lang w:eastAsia="fr-FR" w:bidi="fr-FR"/>
        </w:rPr>
        <w:footnoteReference w:id="17"/>
      </w:r>
      <w:r w:rsidRPr="00DB6FFA">
        <w:rPr>
          <w:lang w:eastAsia="fr-FR" w:bidi="fr-FR"/>
        </w:rPr>
        <w:t>, deviendra graduellement réalité à partir de 1975</w:t>
      </w:r>
      <w:r>
        <w:rPr>
          <w:lang w:eastAsia="fr-FR" w:bidi="fr-FR"/>
        </w:rPr>
        <w:t> </w:t>
      </w:r>
      <w:r>
        <w:rPr>
          <w:rStyle w:val="Appelnotedebasdep"/>
          <w:lang w:eastAsia="fr-FR" w:bidi="fr-FR"/>
        </w:rPr>
        <w:footnoteReference w:id="18"/>
      </w:r>
      <w:r>
        <w:rPr>
          <w:lang w:eastAsia="fr-FR" w:bidi="fr-FR"/>
        </w:rPr>
        <w:t>.</w:t>
      </w:r>
    </w:p>
    <w:p w14:paraId="628E35C3" w14:textId="77777777" w:rsidR="00D01ED8" w:rsidRPr="00DB6FFA" w:rsidRDefault="00D01ED8" w:rsidP="00D01ED8">
      <w:pPr>
        <w:spacing w:before="120" w:after="120"/>
        <w:jc w:val="both"/>
      </w:pPr>
      <w:r w:rsidRPr="00DB6FFA">
        <w:rPr>
          <w:lang w:eastAsia="fr-FR" w:bidi="fr-FR"/>
        </w:rPr>
        <w:t>Cette évolution, quand on la compare à celle de l’État, dont elle est trib</w:t>
      </w:r>
      <w:r w:rsidRPr="00DB6FFA">
        <w:rPr>
          <w:lang w:eastAsia="fr-FR" w:bidi="fr-FR"/>
        </w:rPr>
        <w:t>u</w:t>
      </w:r>
      <w:r w:rsidRPr="00DB6FFA">
        <w:rPr>
          <w:lang w:eastAsia="fr-FR" w:bidi="fr-FR"/>
        </w:rPr>
        <w:t xml:space="preserve">taire, paraît plus spectaculaire encore sous certains aspects. Non pas que les droits et libertés n’aient pas été protégés avant 1975 ou 1982, puisque la Cour suprême avait tiré de la </w:t>
      </w:r>
      <w:r w:rsidRPr="00DB6FFA">
        <w:t>common law</w:t>
      </w:r>
      <w:r w:rsidRPr="00DB6FFA">
        <w:rPr>
          <w:lang w:eastAsia="fr-FR" w:bidi="fr-FR"/>
        </w:rPr>
        <w:t xml:space="preserve"> des lim</w:t>
      </w:r>
      <w:r w:rsidRPr="00DB6FFA">
        <w:rPr>
          <w:lang w:eastAsia="fr-FR" w:bidi="fr-FR"/>
        </w:rPr>
        <w:t>i</w:t>
      </w:r>
      <w:r w:rsidRPr="00DB6FFA">
        <w:rPr>
          <w:lang w:eastAsia="fr-FR" w:bidi="fr-FR"/>
        </w:rPr>
        <w:t>tes implicites au pouvoir exercé par les gouvernants sur leurs admini</w:t>
      </w:r>
      <w:r w:rsidRPr="00DB6FFA">
        <w:rPr>
          <w:lang w:eastAsia="fr-FR" w:bidi="fr-FR"/>
        </w:rPr>
        <w:t>s</w:t>
      </w:r>
      <w:r>
        <w:rPr>
          <w:lang w:eastAsia="fr-FR" w:bidi="fr-FR"/>
        </w:rPr>
        <w:t>trés </w:t>
      </w:r>
      <w:r>
        <w:rPr>
          <w:rStyle w:val="Appelnotedebasdep"/>
          <w:lang w:eastAsia="fr-FR" w:bidi="fr-FR"/>
        </w:rPr>
        <w:footnoteReference w:id="19"/>
      </w:r>
      <w:r w:rsidRPr="00DB6FFA">
        <w:rPr>
          <w:lang w:eastAsia="fr-FR" w:bidi="fr-FR"/>
        </w:rPr>
        <w:t>, mais ces libertés demeuraient à la merci du législateur, qui pouvait d’autorité les restreindre et, au</w:t>
      </w:r>
      <w:r>
        <w:t xml:space="preserve"> [207] </w:t>
      </w:r>
      <w:r w:rsidRPr="00DB6FFA">
        <w:rPr>
          <w:lang w:eastAsia="fr-FR" w:bidi="fr-FR"/>
        </w:rPr>
        <w:t>besoin, modifier les r</w:t>
      </w:r>
      <w:r w:rsidRPr="00DB6FFA">
        <w:rPr>
          <w:lang w:eastAsia="fr-FR" w:bidi="fr-FR"/>
        </w:rPr>
        <w:t>è</w:t>
      </w:r>
      <w:r w:rsidRPr="00DB6FFA">
        <w:rPr>
          <w:lang w:eastAsia="fr-FR" w:bidi="fr-FR"/>
        </w:rPr>
        <w:t>gles posées par les tribunaux</w:t>
      </w:r>
      <w:r>
        <w:rPr>
          <w:lang w:eastAsia="fr-FR" w:bidi="fr-FR"/>
        </w:rPr>
        <w:t> </w:t>
      </w:r>
      <w:r>
        <w:rPr>
          <w:rStyle w:val="Appelnotedebasdep"/>
          <w:lang w:eastAsia="fr-FR" w:bidi="fr-FR"/>
        </w:rPr>
        <w:footnoteReference w:id="20"/>
      </w:r>
      <w:r w:rsidRPr="00DB6FFA">
        <w:rPr>
          <w:lang w:eastAsia="fr-FR" w:bidi="fr-FR"/>
        </w:rPr>
        <w:t>, tandis que déso</w:t>
      </w:r>
      <w:r w:rsidRPr="00DB6FFA">
        <w:rPr>
          <w:lang w:eastAsia="fr-FR" w:bidi="fr-FR"/>
        </w:rPr>
        <w:t>r</w:t>
      </w:r>
      <w:r w:rsidRPr="00DB6FFA">
        <w:rPr>
          <w:lang w:eastAsia="fr-FR" w:bidi="fr-FR"/>
        </w:rPr>
        <w:t xml:space="preserve">mais ils sont </w:t>
      </w:r>
      <w:r>
        <w:rPr>
          <w:lang w:eastAsia="fr-FR" w:bidi="fr-FR"/>
        </w:rPr>
        <w:t>« </w:t>
      </w:r>
      <w:r w:rsidRPr="00DB6FFA">
        <w:rPr>
          <w:lang w:eastAsia="fr-FR" w:bidi="fr-FR"/>
        </w:rPr>
        <w:t>garantis</w:t>
      </w:r>
      <w:r>
        <w:rPr>
          <w:lang w:eastAsia="fr-FR" w:bidi="fr-FR"/>
        </w:rPr>
        <w:t> »</w:t>
      </w:r>
      <w:r w:rsidRPr="00DB6FFA">
        <w:rPr>
          <w:lang w:eastAsia="fr-FR" w:bidi="fr-FR"/>
        </w:rPr>
        <w:t xml:space="preserve"> en principe par les Chartes à l’encontre du législ</w:t>
      </w:r>
      <w:r w:rsidRPr="00DB6FFA">
        <w:rPr>
          <w:lang w:eastAsia="fr-FR" w:bidi="fr-FR"/>
        </w:rPr>
        <w:t>a</w:t>
      </w:r>
      <w:r w:rsidRPr="00DB6FFA">
        <w:rPr>
          <w:lang w:eastAsia="fr-FR" w:bidi="fr-FR"/>
        </w:rPr>
        <w:t>teur et des gouvernants eux-mêmes.</w:t>
      </w:r>
    </w:p>
    <w:p w14:paraId="04B1691D" w14:textId="77777777" w:rsidR="00D01ED8" w:rsidRPr="00DB6FFA" w:rsidRDefault="00D01ED8" w:rsidP="00D01ED8">
      <w:pPr>
        <w:spacing w:before="120" w:after="120"/>
        <w:jc w:val="both"/>
      </w:pPr>
      <w:r w:rsidRPr="00DB6FFA">
        <w:rPr>
          <w:lang w:eastAsia="fr-FR" w:bidi="fr-FR"/>
        </w:rPr>
        <w:t>Cependant, la protection ainsi conférée aux personnes ne s’étend pas à tous les droits susceptibles de sauvegarde et, de surcroît, elle n’est pas à l’abri de dérogations expresses de la part du Parlement ou des Assemblées provinciales. Voilà autant de limites qui rendent aux gouvernants une part du pouvoir dont ils ont prétendu se priver. L’inventaire de ces limites nous indiquera du même coup quelles pourraient être les étapes à franchir dans l’avenir, pour peu naturell</w:t>
      </w:r>
      <w:r w:rsidRPr="00DB6FFA">
        <w:rPr>
          <w:lang w:eastAsia="fr-FR" w:bidi="fr-FR"/>
        </w:rPr>
        <w:t>e</w:t>
      </w:r>
      <w:r w:rsidRPr="00DB6FFA">
        <w:rPr>
          <w:lang w:eastAsia="fr-FR" w:bidi="fr-FR"/>
        </w:rPr>
        <w:t>ment que l’évolution socio-économique, culture</w:t>
      </w:r>
      <w:r w:rsidRPr="00DB6FFA">
        <w:rPr>
          <w:lang w:eastAsia="fr-FR" w:bidi="fr-FR"/>
        </w:rPr>
        <w:t>l</w:t>
      </w:r>
      <w:r w:rsidRPr="00DB6FFA">
        <w:rPr>
          <w:lang w:eastAsia="fr-FR" w:bidi="fr-FR"/>
        </w:rPr>
        <w:t>le et politique s’y prête, ce qui est loin d’être assuré, comme on va le voir.</w:t>
      </w:r>
    </w:p>
    <w:p w14:paraId="251A26E6" w14:textId="77777777" w:rsidR="00D01ED8" w:rsidRPr="00DB6FFA" w:rsidRDefault="00D01ED8" w:rsidP="00D01ED8">
      <w:pPr>
        <w:spacing w:before="120" w:after="120"/>
        <w:jc w:val="both"/>
      </w:pPr>
      <w:r w:rsidRPr="00DB6FFA">
        <w:rPr>
          <w:lang w:eastAsia="fr-FR" w:bidi="fr-FR"/>
        </w:rPr>
        <w:t>Commençons par la Charte québécoise. Elle protège les libertés fondame</w:t>
      </w:r>
      <w:r w:rsidRPr="00DB6FFA">
        <w:rPr>
          <w:lang w:eastAsia="fr-FR" w:bidi="fr-FR"/>
        </w:rPr>
        <w:t>n</w:t>
      </w:r>
      <w:r w:rsidRPr="00DB6FFA">
        <w:rPr>
          <w:lang w:eastAsia="fr-FR" w:bidi="fr-FR"/>
        </w:rPr>
        <w:t xml:space="preserve">tales, telles les libertés de conscience et de religion, celles d’opinion et d’expression, celles de réunion pacifique et d’association, auxquelles elle ajoute des droits </w:t>
      </w:r>
      <w:r>
        <w:rPr>
          <w:lang w:eastAsia="fr-FR" w:bidi="fr-FR"/>
        </w:rPr>
        <w:t>« </w:t>
      </w:r>
      <w:r w:rsidRPr="00DB6FFA">
        <w:rPr>
          <w:lang w:eastAsia="fr-FR" w:bidi="fr-FR"/>
        </w:rPr>
        <w:t>fondamentaux</w:t>
      </w:r>
      <w:r>
        <w:rPr>
          <w:lang w:eastAsia="fr-FR" w:bidi="fr-FR"/>
        </w:rPr>
        <w:t> »</w:t>
      </w:r>
      <w:r w:rsidRPr="00DB6FFA">
        <w:rPr>
          <w:lang w:eastAsia="fr-FR" w:bidi="fr-FR"/>
        </w:rPr>
        <w:t>, comme le droit à la vie, ainsi qu’à la s</w:t>
      </w:r>
      <w:r w:rsidRPr="00DB6FFA">
        <w:rPr>
          <w:lang w:eastAsia="fr-FR" w:bidi="fr-FR"/>
        </w:rPr>
        <w:t>û</w:t>
      </w:r>
      <w:r w:rsidRPr="00DB6FFA">
        <w:rPr>
          <w:lang w:eastAsia="fr-FR" w:bidi="fr-FR"/>
        </w:rPr>
        <w:t xml:space="preserve">reté, à l’intégrité physique et à la liberté de tout être humain, des droits </w:t>
      </w:r>
      <w:r>
        <w:rPr>
          <w:lang w:eastAsia="fr-FR" w:bidi="fr-FR"/>
        </w:rPr>
        <w:t>« </w:t>
      </w:r>
      <w:r w:rsidRPr="00DB6FFA">
        <w:rPr>
          <w:lang w:eastAsia="fr-FR" w:bidi="fr-FR"/>
        </w:rPr>
        <w:t>politiques</w:t>
      </w:r>
      <w:r>
        <w:rPr>
          <w:lang w:eastAsia="fr-FR" w:bidi="fr-FR"/>
        </w:rPr>
        <w:t> »</w:t>
      </w:r>
      <w:r w:rsidRPr="00DB6FFA">
        <w:rPr>
          <w:lang w:eastAsia="fr-FR" w:bidi="fr-FR"/>
        </w:rPr>
        <w:t>, comme celui de se porter cand</w:t>
      </w:r>
      <w:r w:rsidRPr="00DB6FFA">
        <w:rPr>
          <w:lang w:eastAsia="fr-FR" w:bidi="fr-FR"/>
        </w:rPr>
        <w:t>i</w:t>
      </w:r>
      <w:r w:rsidRPr="00DB6FFA">
        <w:rPr>
          <w:lang w:eastAsia="fr-FR" w:bidi="fr-FR"/>
        </w:rPr>
        <w:t xml:space="preserve">dat lors d’une élection et celui d’y voter, enfin des droits </w:t>
      </w:r>
      <w:r>
        <w:rPr>
          <w:lang w:eastAsia="fr-FR" w:bidi="fr-FR"/>
        </w:rPr>
        <w:t>« </w:t>
      </w:r>
      <w:r w:rsidRPr="00DB6FFA">
        <w:rPr>
          <w:lang w:eastAsia="fr-FR" w:bidi="fr-FR"/>
        </w:rPr>
        <w:t>judiciaires</w:t>
      </w:r>
      <w:r>
        <w:rPr>
          <w:lang w:eastAsia="fr-FR" w:bidi="fr-FR"/>
        </w:rPr>
        <w:t> »</w:t>
      </w:r>
      <w:r w:rsidRPr="00DB6FFA">
        <w:rPr>
          <w:lang w:eastAsia="fr-FR" w:bidi="fr-FR"/>
        </w:rPr>
        <w:t>, c’est-à-dire ceux que peut revendiquer devant la Just</w:t>
      </w:r>
      <w:r w:rsidRPr="00DB6FFA">
        <w:rPr>
          <w:lang w:eastAsia="fr-FR" w:bidi="fr-FR"/>
        </w:rPr>
        <w:t>i</w:t>
      </w:r>
      <w:r w:rsidRPr="00DB6FFA">
        <w:rPr>
          <w:lang w:eastAsia="fr-FR" w:bidi="fr-FR"/>
        </w:rPr>
        <w:t>ce toute personne arrêtée ou détenue. Cet ensemble de droits et libe</w:t>
      </w:r>
      <w:r w:rsidRPr="00DB6FFA">
        <w:rPr>
          <w:lang w:eastAsia="fr-FR" w:bidi="fr-FR"/>
        </w:rPr>
        <w:t>r</w:t>
      </w:r>
      <w:r w:rsidRPr="00DB6FFA">
        <w:rPr>
          <w:lang w:eastAsia="fr-FR" w:bidi="fr-FR"/>
        </w:rPr>
        <w:t>tés prévaut sur toute disposition d’une loi de l’Assemblée nationale qui lui serait contraire et la rend ineffective, à moins que la loi att</w:t>
      </w:r>
      <w:r w:rsidRPr="00DB6FFA">
        <w:rPr>
          <w:lang w:eastAsia="fr-FR" w:bidi="fr-FR"/>
        </w:rPr>
        <w:t>a</w:t>
      </w:r>
      <w:r w:rsidRPr="00DB6FFA">
        <w:rPr>
          <w:lang w:eastAsia="fr-FR" w:bidi="fr-FR"/>
        </w:rPr>
        <w:t>quée n’énonce expre</w:t>
      </w:r>
      <w:r w:rsidRPr="00DB6FFA">
        <w:rPr>
          <w:lang w:eastAsia="fr-FR" w:bidi="fr-FR"/>
        </w:rPr>
        <w:t>s</w:t>
      </w:r>
      <w:r w:rsidRPr="00DB6FFA">
        <w:rPr>
          <w:lang w:eastAsia="fr-FR" w:bidi="fr-FR"/>
        </w:rPr>
        <w:t>sément qu’elle s’applique malgré la Charte.</w:t>
      </w:r>
    </w:p>
    <w:p w14:paraId="77530338" w14:textId="77777777" w:rsidR="00D01ED8" w:rsidRPr="00DB6FFA" w:rsidRDefault="00D01ED8" w:rsidP="00D01ED8">
      <w:pPr>
        <w:spacing w:before="120" w:after="120"/>
        <w:jc w:val="both"/>
      </w:pPr>
      <w:r w:rsidRPr="00DB6FFA">
        <w:rPr>
          <w:lang w:eastAsia="fr-FR" w:bidi="fr-FR"/>
        </w:rPr>
        <w:t>L’Assemblée nationale peut ainsi déroger à sa propre Charte en suivant sa procédure habituelle et à la majorité simple, comme s’il s’agissait d’une loi ordinaire</w:t>
      </w:r>
      <w:r>
        <w:rPr>
          <w:lang w:eastAsia="fr-FR" w:bidi="fr-FR"/>
        </w:rPr>
        <w:t> ;</w:t>
      </w:r>
      <w:r w:rsidRPr="00DB6FFA">
        <w:rPr>
          <w:lang w:eastAsia="fr-FR" w:bidi="fr-FR"/>
        </w:rPr>
        <w:t xml:space="preserve"> elle a d’ailleurs usé de cette faculté à près de vingt reprises depuis que la Charte est entrée en vigueur</w:t>
      </w:r>
      <w:r>
        <w:rPr>
          <w:lang w:eastAsia="fr-FR" w:bidi="fr-FR"/>
        </w:rPr>
        <w:t> </w:t>
      </w:r>
      <w:r>
        <w:rPr>
          <w:rStyle w:val="Appelnotedebasdep"/>
          <w:lang w:eastAsia="fr-FR" w:bidi="fr-FR"/>
        </w:rPr>
        <w:footnoteReference w:id="21"/>
      </w:r>
      <w:r w:rsidRPr="00DB6FFA">
        <w:rPr>
          <w:lang w:eastAsia="fr-FR" w:bidi="fr-FR"/>
        </w:rPr>
        <w:t>. Dans la plupart des cas, ces d</w:t>
      </w:r>
      <w:r w:rsidRPr="00DB6FFA">
        <w:rPr>
          <w:lang w:eastAsia="fr-FR" w:bidi="fr-FR"/>
        </w:rPr>
        <w:t>é</w:t>
      </w:r>
      <w:r w:rsidRPr="00DB6FFA">
        <w:rPr>
          <w:lang w:eastAsia="fr-FR" w:bidi="fr-FR"/>
        </w:rPr>
        <w:t>rogations n’ont pas suscité de difficulté puisqu’il s’agissait de mieux prot</w:t>
      </w:r>
      <w:r w:rsidRPr="00DB6FFA">
        <w:rPr>
          <w:lang w:eastAsia="fr-FR" w:bidi="fr-FR"/>
        </w:rPr>
        <w:t>é</w:t>
      </w:r>
      <w:r w:rsidRPr="00DB6FFA">
        <w:rPr>
          <w:lang w:eastAsia="fr-FR" w:bidi="fr-FR"/>
        </w:rPr>
        <w:t>ger certains groupes, comme les détenus ou les personnes handicapées, en faisant exce</w:t>
      </w:r>
      <w:r w:rsidRPr="00DB6FFA">
        <w:rPr>
          <w:lang w:eastAsia="fr-FR" w:bidi="fr-FR"/>
        </w:rPr>
        <w:t>p</w:t>
      </w:r>
      <w:r w:rsidRPr="00DB6FFA">
        <w:rPr>
          <w:lang w:eastAsia="fr-FR" w:bidi="fr-FR"/>
        </w:rPr>
        <w:t>tion à certains principes de la Charte. Il est arrivé, cependant, que le législateur, d</w:t>
      </w:r>
      <w:r w:rsidRPr="00DB6FFA">
        <w:rPr>
          <w:lang w:eastAsia="fr-FR" w:bidi="fr-FR"/>
        </w:rPr>
        <w:t>e</w:t>
      </w:r>
      <w:r w:rsidRPr="00DB6FFA">
        <w:rPr>
          <w:lang w:eastAsia="fr-FR" w:bidi="fr-FR"/>
        </w:rPr>
        <w:t>vant les tensions résultant de grèves prolongées, opte pour des mes</w:t>
      </w:r>
      <w:r w:rsidRPr="00DB6FFA">
        <w:rPr>
          <w:lang w:eastAsia="fr-FR" w:bidi="fr-FR"/>
        </w:rPr>
        <w:t>u</w:t>
      </w:r>
      <w:r w:rsidRPr="00DB6FFA">
        <w:rPr>
          <w:lang w:eastAsia="fr-FR" w:bidi="fr-FR"/>
        </w:rPr>
        <w:t>res de contrainte comportant une</w:t>
      </w:r>
      <w:r>
        <w:t xml:space="preserve"> [208] </w:t>
      </w:r>
      <w:r w:rsidRPr="00DB6FFA">
        <w:rPr>
          <w:lang w:eastAsia="fr-FR" w:bidi="fr-FR"/>
        </w:rPr>
        <w:t>dérogation globale à la Charte, ce qui n’a pas manqué de su</w:t>
      </w:r>
      <w:r w:rsidRPr="00DB6FFA">
        <w:rPr>
          <w:lang w:eastAsia="fr-FR" w:bidi="fr-FR"/>
        </w:rPr>
        <w:t>s</w:t>
      </w:r>
      <w:r w:rsidRPr="00DB6FFA">
        <w:rPr>
          <w:lang w:eastAsia="fr-FR" w:bidi="fr-FR"/>
        </w:rPr>
        <w:t>citer l’inquiétude de la Commission des droits de la personne du Qu</w:t>
      </w:r>
      <w:r w:rsidRPr="00DB6FFA">
        <w:rPr>
          <w:lang w:eastAsia="fr-FR" w:bidi="fr-FR"/>
        </w:rPr>
        <w:t>é</w:t>
      </w:r>
      <w:r w:rsidRPr="00DB6FFA">
        <w:rPr>
          <w:lang w:eastAsia="fr-FR" w:bidi="fr-FR"/>
        </w:rPr>
        <w:t>bec</w:t>
      </w:r>
      <w:r>
        <w:rPr>
          <w:lang w:eastAsia="fr-FR" w:bidi="fr-FR"/>
        </w:rPr>
        <w:t> </w:t>
      </w:r>
      <w:r>
        <w:rPr>
          <w:rStyle w:val="Appelnotedebasdep"/>
          <w:lang w:eastAsia="fr-FR" w:bidi="fr-FR"/>
        </w:rPr>
        <w:footnoteReference w:id="22"/>
      </w:r>
      <w:r w:rsidRPr="00DB6FFA">
        <w:rPr>
          <w:lang w:eastAsia="fr-FR" w:bidi="fr-FR"/>
        </w:rPr>
        <w:t>. Ce pouvoir de dérogation absolu n’est guère compatible avec la supériorité constitutionnelle dont le législateur québécois a voulu d</w:t>
      </w:r>
      <w:r w:rsidRPr="00DB6FFA">
        <w:rPr>
          <w:lang w:eastAsia="fr-FR" w:bidi="fr-FR"/>
        </w:rPr>
        <w:t>o</w:t>
      </w:r>
      <w:r w:rsidRPr="00DB6FFA">
        <w:rPr>
          <w:lang w:eastAsia="fr-FR" w:bidi="fr-FR"/>
        </w:rPr>
        <w:t>ter la Charte. Il conviendrait, comme l’ont recommandé le Barreau du Québec et la Co</w:t>
      </w:r>
      <w:r w:rsidRPr="00DB6FFA">
        <w:rPr>
          <w:lang w:eastAsia="fr-FR" w:bidi="fr-FR"/>
        </w:rPr>
        <w:t>m</w:t>
      </w:r>
      <w:r w:rsidRPr="00DB6FFA">
        <w:rPr>
          <w:lang w:eastAsia="fr-FR" w:bidi="fr-FR"/>
        </w:rPr>
        <w:t>mission des droits de la personne en 1981 et 1982, que l’Assemblée ne pût y déroger, dans ses aspects fondame</w:t>
      </w:r>
      <w:r w:rsidRPr="00DB6FFA">
        <w:rPr>
          <w:lang w:eastAsia="fr-FR" w:bidi="fr-FR"/>
        </w:rPr>
        <w:t>n</w:t>
      </w:r>
      <w:r w:rsidRPr="00DB6FFA">
        <w:rPr>
          <w:lang w:eastAsia="fr-FR" w:bidi="fr-FR"/>
        </w:rPr>
        <w:t>taux, sans qu’une majorité renforcée (par exemple, des deux tiers des dép</w:t>
      </w:r>
      <w:r w:rsidRPr="00DB6FFA">
        <w:rPr>
          <w:lang w:eastAsia="fr-FR" w:bidi="fr-FR"/>
        </w:rPr>
        <w:t>u</w:t>
      </w:r>
      <w:r w:rsidRPr="00DB6FFA">
        <w:rPr>
          <w:lang w:eastAsia="fr-FR" w:bidi="fr-FR"/>
        </w:rPr>
        <w:t>tés) y concourût</w:t>
      </w:r>
      <w:r>
        <w:rPr>
          <w:lang w:eastAsia="fr-FR" w:bidi="fr-FR"/>
        </w:rPr>
        <w:t> </w:t>
      </w:r>
      <w:r>
        <w:rPr>
          <w:rStyle w:val="Appelnotedebasdep"/>
          <w:lang w:eastAsia="fr-FR" w:bidi="fr-FR"/>
        </w:rPr>
        <w:footnoteReference w:id="23"/>
      </w:r>
      <w:r w:rsidRPr="00DB6FFA">
        <w:rPr>
          <w:lang w:eastAsia="fr-FR" w:bidi="fr-FR"/>
        </w:rPr>
        <w:t>.</w:t>
      </w:r>
    </w:p>
    <w:p w14:paraId="46AF67FD" w14:textId="77777777" w:rsidR="00D01ED8" w:rsidRPr="00DB6FFA" w:rsidRDefault="00D01ED8" w:rsidP="00D01ED8">
      <w:pPr>
        <w:spacing w:before="120" w:after="120"/>
        <w:jc w:val="both"/>
      </w:pPr>
      <w:r w:rsidRPr="00DB6FFA">
        <w:rPr>
          <w:lang w:eastAsia="fr-FR" w:bidi="fr-FR"/>
        </w:rPr>
        <w:t xml:space="preserve">Une grave difficulté née de l’application de la Charte québécoise tient au fait que les droits linguistiques sont consacrés par une autre </w:t>
      </w:r>
      <w:r>
        <w:rPr>
          <w:lang w:eastAsia="fr-FR" w:bidi="fr-FR"/>
        </w:rPr>
        <w:t>« </w:t>
      </w:r>
      <w:r w:rsidRPr="00DB6FFA">
        <w:rPr>
          <w:lang w:eastAsia="fr-FR" w:bidi="fr-FR"/>
        </w:rPr>
        <w:t>Charte</w:t>
      </w:r>
      <w:r>
        <w:rPr>
          <w:lang w:eastAsia="fr-FR" w:bidi="fr-FR"/>
        </w:rPr>
        <w:t> »</w:t>
      </w:r>
      <w:r w:rsidRPr="00DB6FFA">
        <w:rPr>
          <w:lang w:eastAsia="fr-FR" w:bidi="fr-FR"/>
        </w:rPr>
        <w:t xml:space="preserve"> qui n’est pas investie de la supériorité par rapport aux lois ordinaires et se tro</w:t>
      </w:r>
      <w:r w:rsidRPr="00DB6FFA">
        <w:rPr>
          <w:lang w:eastAsia="fr-FR" w:bidi="fr-FR"/>
        </w:rPr>
        <w:t>u</w:t>
      </w:r>
      <w:r w:rsidRPr="00DB6FFA">
        <w:rPr>
          <w:lang w:eastAsia="fr-FR" w:bidi="fr-FR"/>
        </w:rPr>
        <w:t xml:space="preserve">ve de la sorte subordonnée à la </w:t>
      </w:r>
      <w:r w:rsidRPr="007A469B">
        <w:rPr>
          <w:i/>
          <w:lang w:eastAsia="fr-FR" w:bidi="fr-FR"/>
        </w:rPr>
        <w:t>Charte des droits et libertés individuels</w:t>
      </w:r>
      <w:r w:rsidRPr="00DB6FFA">
        <w:rPr>
          <w:lang w:eastAsia="fr-FR" w:bidi="fr-FR"/>
        </w:rPr>
        <w:t xml:space="preserve">. Cette lacune de la </w:t>
      </w:r>
      <w:r w:rsidRPr="007A469B">
        <w:rPr>
          <w:i/>
        </w:rPr>
        <w:t>Charte de la langue frança</w:t>
      </w:r>
      <w:r w:rsidRPr="007A469B">
        <w:rPr>
          <w:i/>
        </w:rPr>
        <w:t>i</w:t>
      </w:r>
      <w:r w:rsidRPr="007A469B">
        <w:rPr>
          <w:i/>
        </w:rPr>
        <w:t>se</w:t>
      </w:r>
      <w:r w:rsidRPr="00DB6FFA">
        <w:rPr>
          <w:lang w:eastAsia="fr-FR" w:bidi="fr-FR"/>
        </w:rPr>
        <w:t xml:space="preserve"> explique le fait que la Cour d’appel du Québec, s’inspirant de crit</w:t>
      </w:r>
      <w:r w:rsidRPr="00DB6FFA">
        <w:rPr>
          <w:lang w:eastAsia="fr-FR" w:bidi="fr-FR"/>
        </w:rPr>
        <w:t>è</w:t>
      </w:r>
      <w:r w:rsidRPr="00DB6FFA">
        <w:rPr>
          <w:lang w:eastAsia="fr-FR" w:bidi="fr-FR"/>
        </w:rPr>
        <w:t>res définis par la Cour suprême des États-Unis, ait pu décider de faire prévaloir la liberté d’expression (y co</w:t>
      </w:r>
      <w:r w:rsidRPr="00DB6FFA">
        <w:rPr>
          <w:lang w:eastAsia="fr-FR" w:bidi="fr-FR"/>
        </w:rPr>
        <w:t>m</w:t>
      </w:r>
      <w:r w:rsidRPr="00DB6FFA">
        <w:rPr>
          <w:lang w:eastAsia="fr-FR" w:bidi="fr-FR"/>
        </w:rPr>
        <w:t xml:space="preserve">pris le </w:t>
      </w:r>
      <w:r w:rsidRPr="007A469B">
        <w:rPr>
          <w:i/>
        </w:rPr>
        <w:t>commercial speech</w:t>
      </w:r>
      <w:r w:rsidRPr="00DB6FFA">
        <w:t>)</w:t>
      </w:r>
      <w:r w:rsidRPr="00DB6FFA">
        <w:rPr>
          <w:lang w:eastAsia="fr-FR" w:bidi="fr-FR"/>
        </w:rPr>
        <w:t xml:space="preserve"> sur les dispositions relatives à l’affichage commercial en français</w:t>
      </w:r>
      <w:r>
        <w:rPr>
          <w:lang w:eastAsia="fr-FR" w:bidi="fr-FR"/>
        </w:rPr>
        <w:t> </w:t>
      </w:r>
      <w:r>
        <w:rPr>
          <w:rStyle w:val="Appelnotedebasdep"/>
          <w:lang w:eastAsia="fr-FR" w:bidi="fr-FR"/>
        </w:rPr>
        <w:footnoteReference w:id="24"/>
      </w:r>
      <w:r w:rsidRPr="00DB6FFA">
        <w:rPr>
          <w:lang w:eastAsia="fr-FR" w:bidi="fr-FR"/>
        </w:rPr>
        <w:t>. Co</w:t>
      </w:r>
      <w:r w:rsidRPr="00DB6FFA">
        <w:rPr>
          <w:lang w:eastAsia="fr-FR" w:bidi="fr-FR"/>
        </w:rPr>
        <w:t>m</w:t>
      </w:r>
      <w:r w:rsidRPr="00DB6FFA">
        <w:rPr>
          <w:lang w:eastAsia="fr-FR" w:bidi="fr-FR"/>
        </w:rPr>
        <w:t xml:space="preserve">me l’avait recommandé la Commission des droits de la personne avant même l’adoption de la </w:t>
      </w:r>
      <w:r w:rsidRPr="00DB6FFA">
        <w:t>Charte de la langue française,</w:t>
      </w:r>
      <w:r w:rsidRPr="00DB6FFA">
        <w:rPr>
          <w:lang w:eastAsia="fr-FR" w:bidi="fr-FR"/>
        </w:rPr>
        <w:t xml:space="preserve"> il eût été préf</w:t>
      </w:r>
      <w:r w:rsidRPr="00DB6FFA">
        <w:rPr>
          <w:lang w:eastAsia="fr-FR" w:bidi="fr-FR"/>
        </w:rPr>
        <w:t>é</w:t>
      </w:r>
      <w:r w:rsidRPr="00DB6FFA">
        <w:rPr>
          <w:lang w:eastAsia="fr-FR" w:bidi="fr-FR"/>
        </w:rPr>
        <w:t xml:space="preserve">rable d’inscrire les grands principes de la politique linguistique dans la Charte des droits et libertés, tant en ce qui concerne les droits de la majorité que pour ce qui touche les droits minoritaires, </w:t>
      </w:r>
      <w:r>
        <w:rPr>
          <w:lang w:eastAsia="fr-FR" w:bidi="fr-FR"/>
        </w:rPr>
        <w:t>« </w:t>
      </w:r>
      <w:r w:rsidRPr="00DB6FFA">
        <w:rPr>
          <w:lang w:eastAsia="fr-FR" w:bidi="fr-FR"/>
        </w:rPr>
        <w:t>reconnaissant par là à ces principes le caractère de droits fondame</w:t>
      </w:r>
      <w:r w:rsidRPr="00DB6FFA">
        <w:rPr>
          <w:lang w:eastAsia="fr-FR" w:bidi="fr-FR"/>
        </w:rPr>
        <w:t>n</w:t>
      </w:r>
      <w:r w:rsidRPr="00DB6FFA">
        <w:rPr>
          <w:lang w:eastAsia="fr-FR" w:bidi="fr-FR"/>
        </w:rPr>
        <w:t>taux</w:t>
      </w:r>
      <w:r>
        <w:rPr>
          <w:lang w:eastAsia="fr-FR" w:bidi="fr-FR"/>
        </w:rPr>
        <w:t> </w:t>
      </w:r>
      <w:r>
        <w:rPr>
          <w:rStyle w:val="Appelnotedebasdep"/>
          <w:lang w:eastAsia="fr-FR" w:bidi="fr-FR"/>
        </w:rPr>
        <w:footnoteReference w:id="25"/>
      </w:r>
      <w:r>
        <w:rPr>
          <w:lang w:eastAsia="fr-FR" w:bidi="fr-FR"/>
        </w:rPr>
        <w:t> »</w:t>
      </w:r>
      <w:r w:rsidRPr="00DB6FFA">
        <w:rPr>
          <w:lang w:eastAsia="fr-FR" w:bidi="fr-FR"/>
        </w:rPr>
        <w:t>. Est-il trop tard pour y procéder et s’assurer d’un juste équ</w:t>
      </w:r>
      <w:r w:rsidRPr="00DB6FFA">
        <w:rPr>
          <w:lang w:eastAsia="fr-FR" w:bidi="fr-FR"/>
        </w:rPr>
        <w:t>i</w:t>
      </w:r>
      <w:r w:rsidRPr="00DB6FFA">
        <w:rPr>
          <w:lang w:eastAsia="fr-FR" w:bidi="fr-FR"/>
        </w:rPr>
        <w:t xml:space="preserve">libre entre les libertés individuelles et les droits </w:t>
      </w:r>
      <w:r>
        <w:rPr>
          <w:lang w:eastAsia="fr-FR" w:bidi="fr-FR"/>
        </w:rPr>
        <w:t>« </w:t>
      </w:r>
      <w:r w:rsidRPr="00DB6FFA">
        <w:rPr>
          <w:lang w:eastAsia="fr-FR" w:bidi="fr-FR"/>
        </w:rPr>
        <w:t>collectifs</w:t>
      </w:r>
      <w:r>
        <w:rPr>
          <w:lang w:eastAsia="fr-FR" w:bidi="fr-FR"/>
        </w:rPr>
        <w:t> »</w:t>
      </w:r>
      <w:r w:rsidRPr="00DB6FFA">
        <w:rPr>
          <w:lang w:eastAsia="fr-FR" w:bidi="fr-FR"/>
        </w:rPr>
        <w:t xml:space="preserve"> de la personne</w:t>
      </w:r>
      <w:r>
        <w:rPr>
          <w:lang w:eastAsia="fr-FR" w:bidi="fr-FR"/>
        </w:rPr>
        <w:t> ?</w:t>
      </w:r>
      <w:r w:rsidRPr="00DB6FFA">
        <w:rPr>
          <w:lang w:eastAsia="fr-FR" w:bidi="fr-FR"/>
        </w:rPr>
        <w:t xml:space="preserve"> Ce sera l’une des tâches de l’avenir, surtout si la Cour supr</w:t>
      </w:r>
      <w:r w:rsidRPr="00DB6FFA">
        <w:rPr>
          <w:lang w:eastAsia="fr-FR" w:bidi="fr-FR"/>
        </w:rPr>
        <w:t>ê</w:t>
      </w:r>
      <w:r w:rsidRPr="00DB6FFA">
        <w:rPr>
          <w:lang w:eastAsia="fr-FR" w:bidi="fr-FR"/>
        </w:rPr>
        <w:t>me décide de maintenir l’arrêt de la Cour d’appel en matière de langue d’affichage.</w:t>
      </w:r>
    </w:p>
    <w:p w14:paraId="52353D6F" w14:textId="77777777" w:rsidR="00D01ED8" w:rsidRPr="00DB6FFA" w:rsidRDefault="00D01ED8" w:rsidP="00D01ED8">
      <w:pPr>
        <w:spacing w:before="120" w:after="120"/>
        <w:jc w:val="both"/>
      </w:pPr>
      <w:r w:rsidRPr="00DB6FFA">
        <w:rPr>
          <w:lang w:eastAsia="fr-FR" w:bidi="fr-FR"/>
        </w:rPr>
        <w:t xml:space="preserve">Enfin, il y a dans la </w:t>
      </w:r>
      <w:r w:rsidRPr="007A469B">
        <w:rPr>
          <w:i/>
        </w:rPr>
        <w:t>Charte</w:t>
      </w:r>
      <w:r w:rsidRPr="007A469B">
        <w:rPr>
          <w:i/>
          <w:lang w:eastAsia="fr-FR" w:bidi="fr-FR"/>
        </w:rPr>
        <w:t xml:space="preserve"> québécoise </w:t>
      </w:r>
      <w:r w:rsidRPr="007A469B">
        <w:rPr>
          <w:i/>
        </w:rPr>
        <w:t>des droits et libertés de la personne</w:t>
      </w:r>
      <w:r w:rsidRPr="00DB6FFA">
        <w:rPr>
          <w:lang w:eastAsia="fr-FR" w:bidi="fr-FR"/>
        </w:rPr>
        <w:t xml:space="preserve"> quelques dispositions fort modestes sur les droits économ</w:t>
      </w:r>
      <w:r w:rsidRPr="00DB6FFA">
        <w:rPr>
          <w:lang w:eastAsia="fr-FR" w:bidi="fr-FR"/>
        </w:rPr>
        <w:t>i</w:t>
      </w:r>
      <w:r w:rsidRPr="00DB6FFA">
        <w:rPr>
          <w:lang w:eastAsia="fr-FR" w:bidi="fr-FR"/>
        </w:rPr>
        <w:t>ques et s</w:t>
      </w:r>
      <w:r w:rsidRPr="00DB6FFA">
        <w:rPr>
          <w:lang w:eastAsia="fr-FR" w:bidi="fr-FR"/>
        </w:rPr>
        <w:t>o</w:t>
      </w:r>
      <w:r w:rsidRPr="00DB6FFA">
        <w:rPr>
          <w:lang w:eastAsia="fr-FR" w:bidi="fr-FR"/>
        </w:rPr>
        <w:t>ciaux, portant sur la protection de l’enfance et de</w:t>
      </w:r>
      <w:r>
        <w:t xml:space="preserve"> [209] </w:t>
      </w:r>
      <w:r w:rsidRPr="00DB6FFA">
        <w:rPr>
          <w:lang w:eastAsia="fr-FR" w:bidi="fr-FR"/>
        </w:rPr>
        <w:t>la famille, l’instruction gratuite, l’assistance financière aux perso</w:t>
      </w:r>
      <w:r w:rsidRPr="00DB6FFA">
        <w:rPr>
          <w:lang w:eastAsia="fr-FR" w:bidi="fr-FR"/>
        </w:rPr>
        <w:t>n</w:t>
      </w:r>
      <w:r w:rsidRPr="00DB6FFA">
        <w:rPr>
          <w:lang w:eastAsia="fr-FR" w:bidi="fr-FR"/>
        </w:rPr>
        <w:t>nes dans le besoin, les conditions de travail justes, la protection des pe</w:t>
      </w:r>
      <w:r w:rsidRPr="00DB6FFA">
        <w:rPr>
          <w:lang w:eastAsia="fr-FR" w:bidi="fr-FR"/>
        </w:rPr>
        <w:t>r</w:t>
      </w:r>
      <w:r w:rsidRPr="00DB6FFA">
        <w:rPr>
          <w:lang w:eastAsia="fr-FR" w:bidi="fr-FR"/>
        </w:rPr>
        <w:t>sonnes âgées ou handicapées</w:t>
      </w:r>
      <w:r>
        <w:rPr>
          <w:lang w:eastAsia="fr-FR" w:bidi="fr-FR"/>
        </w:rPr>
        <w:t> </w:t>
      </w:r>
      <w:r>
        <w:rPr>
          <w:rStyle w:val="Appelnotedebasdep"/>
          <w:lang w:eastAsia="fr-FR" w:bidi="fr-FR"/>
        </w:rPr>
        <w:footnoteReference w:id="26"/>
      </w:r>
      <w:r w:rsidRPr="00DB6FFA">
        <w:rPr>
          <w:lang w:eastAsia="fr-FR" w:bidi="fr-FR"/>
        </w:rPr>
        <w:t>. Ces droits ne font cependant l’objet d’aucune pr</w:t>
      </w:r>
      <w:r w:rsidRPr="00DB6FFA">
        <w:rPr>
          <w:lang w:eastAsia="fr-FR" w:bidi="fr-FR"/>
        </w:rPr>
        <w:t>é</w:t>
      </w:r>
      <w:r w:rsidRPr="00DB6FFA">
        <w:rPr>
          <w:lang w:eastAsia="fr-FR" w:bidi="fr-FR"/>
        </w:rPr>
        <w:t>séance constitutionnelle et leur énoncé même en restreint souvent la portée ne pr</w:t>
      </w:r>
      <w:r w:rsidRPr="00DB6FFA">
        <w:rPr>
          <w:lang w:eastAsia="fr-FR" w:bidi="fr-FR"/>
        </w:rPr>
        <w:t>é</w:t>
      </w:r>
      <w:r w:rsidRPr="00DB6FFA">
        <w:rPr>
          <w:lang w:eastAsia="fr-FR" w:bidi="fr-FR"/>
        </w:rPr>
        <w:t xml:space="preserve">cisant qu’ils ne peuvent être exercés que </w:t>
      </w:r>
      <w:r>
        <w:rPr>
          <w:lang w:eastAsia="fr-FR" w:bidi="fr-FR"/>
        </w:rPr>
        <w:t>« </w:t>
      </w:r>
      <w:r w:rsidRPr="00DB6FFA">
        <w:rPr>
          <w:lang w:eastAsia="fr-FR" w:bidi="fr-FR"/>
        </w:rPr>
        <w:t>dans la mesure et suivant les normes prévues par la loi</w:t>
      </w:r>
      <w:r>
        <w:rPr>
          <w:lang w:eastAsia="fr-FR" w:bidi="fr-FR"/>
        </w:rPr>
        <w:t> »</w:t>
      </w:r>
      <w:r w:rsidRPr="00DB6FFA">
        <w:rPr>
          <w:lang w:eastAsia="fr-FR" w:bidi="fr-FR"/>
        </w:rPr>
        <w:t>. Doit-on en conclure que les droits économ</w:t>
      </w:r>
      <w:r w:rsidRPr="00DB6FFA">
        <w:rPr>
          <w:lang w:eastAsia="fr-FR" w:bidi="fr-FR"/>
        </w:rPr>
        <w:t>i</w:t>
      </w:r>
      <w:r w:rsidRPr="00DB6FFA">
        <w:rPr>
          <w:lang w:eastAsia="fr-FR" w:bidi="fr-FR"/>
        </w:rPr>
        <w:t>ques et sociaux n’ont pas leur place dans une Charte constitutionnalisée, ou faut-il au contraire leur éte</w:t>
      </w:r>
      <w:r w:rsidRPr="00DB6FFA">
        <w:rPr>
          <w:lang w:eastAsia="fr-FR" w:bidi="fr-FR"/>
        </w:rPr>
        <w:t>n</w:t>
      </w:r>
      <w:r w:rsidRPr="00DB6FFA">
        <w:rPr>
          <w:lang w:eastAsia="fr-FR" w:bidi="fr-FR"/>
        </w:rPr>
        <w:t>dre le principe de la supériorité</w:t>
      </w:r>
      <w:r>
        <w:rPr>
          <w:lang w:eastAsia="fr-FR" w:bidi="fr-FR"/>
        </w:rPr>
        <w:t> ?</w:t>
      </w:r>
      <w:r w:rsidRPr="00DB6FFA">
        <w:rPr>
          <w:lang w:eastAsia="fr-FR" w:bidi="fr-FR"/>
        </w:rPr>
        <w:t xml:space="preserve"> La doctrine juridique québécoise est partagée là-dessus</w:t>
      </w:r>
      <w:r>
        <w:rPr>
          <w:lang w:eastAsia="fr-FR" w:bidi="fr-FR"/>
        </w:rPr>
        <w:t> :</w:t>
      </w:r>
      <w:r w:rsidRPr="00DB6FFA">
        <w:rPr>
          <w:lang w:eastAsia="fr-FR" w:bidi="fr-FR"/>
        </w:rPr>
        <w:t xml:space="preserve"> les professeurs H. Brun et G. Tremblay, pour leur part, estiment que ces droits ne sont pas </w:t>
      </w:r>
      <w:r>
        <w:rPr>
          <w:lang w:eastAsia="fr-FR" w:bidi="fr-FR"/>
        </w:rPr>
        <w:t>« </w:t>
      </w:r>
      <w:r w:rsidRPr="00DB6FFA">
        <w:rPr>
          <w:lang w:eastAsia="fr-FR" w:bidi="fr-FR"/>
        </w:rPr>
        <w:t>de la nature véritable des droits fondamentaux</w:t>
      </w:r>
      <w:r>
        <w:rPr>
          <w:lang w:eastAsia="fr-FR" w:bidi="fr-FR"/>
        </w:rPr>
        <w:t> </w:t>
      </w:r>
      <w:r>
        <w:rPr>
          <w:rStyle w:val="Appelnotedebasdep"/>
          <w:lang w:eastAsia="fr-FR" w:bidi="fr-FR"/>
        </w:rPr>
        <w:footnoteReference w:id="27"/>
      </w:r>
      <w:r>
        <w:rPr>
          <w:lang w:eastAsia="fr-FR" w:bidi="fr-FR"/>
        </w:rPr>
        <w:t> »</w:t>
      </w:r>
      <w:r w:rsidRPr="00DB6FFA">
        <w:rPr>
          <w:lang w:eastAsia="fr-FR" w:bidi="fr-FR"/>
        </w:rPr>
        <w:t>, et il est vrai qu’ils sont nécessairement moins abstraits et plus mouvants que les libertés fondamentales, par exe</w:t>
      </w:r>
      <w:r w:rsidRPr="00DB6FFA">
        <w:rPr>
          <w:lang w:eastAsia="fr-FR" w:bidi="fr-FR"/>
        </w:rPr>
        <w:t>m</w:t>
      </w:r>
      <w:r w:rsidRPr="00DB6FFA">
        <w:rPr>
          <w:lang w:eastAsia="fr-FR" w:bidi="fr-FR"/>
        </w:rPr>
        <w:t>ple. Mais en sont-ils moins propres à des énoncés généraux qui ass</w:t>
      </w:r>
      <w:r w:rsidRPr="00DB6FFA">
        <w:rPr>
          <w:lang w:eastAsia="fr-FR" w:bidi="fr-FR"/>
        </w:rPr>
        <w:t>u</w:t>
      </w:r>
      <w:r w:rsidRPr="00DB6FFA">
        <w:rPr>
          <w:lang w:eastAsia="fr-FR" w:bidi="fr-FR"/>
        </w:rPr>
        <w:t>rent un minimum de garanties</w:t>
      </w:r>
      <w:r>
        <w:rPr>
          <w:lang w:eastAsia="fr-FR" w:bidi="fr-FR"/>
        </w:rPr>
        <w:t> ?</w:t>
      </w:r>
      <w:r w:rsidRPr="00DB6FFA">
        <w:rPr>
          <w:lang w:eastAsia="fr-FR" w:bidi="fr-FR"/>
        </w:rPr>
        <w:t xml:space="preserve"> Le </w:t>
      </w:r>
      <w:r w:rsidRPr="007A469B">
        <w:rPr>
          <w:i/>
        </w:rPr>
        <w:t>Pacte international relatif aux droits économ</w:t>
      </w:r>
      <w:r w:rsidRPr="007A469B">
        <w:rPr>
          <w:i/>
        </w:rPr>
        <w:t>i</w:t>
      </w:r>
      <w:r w:rsidRPr="007A469B">
        <w:rPr>
          <w:i/>
        </w:rPr>
        <w:t>ques, sociaux et culturels</w:t>
      </w:r>
      <w:r w:rsidRPr="00DB6FFA">
        <w:rPr>
          <w:lang w:eastAsia="fr-FR" w:bidi="fr-FR"/>
        </w:rPr>
        <w:t xml:space="preserve"> de 1966, accepté et mis en œuvre par le Québec</w:t>
      </w:r>
      <w:r>
        <w:rPr>
          <w:lang w:eastAsia="fr-FR" w:bidi="fr-FR"/>
        </w:rPr>
        <w:t> </w:t>
      </w:r>
      <w:r>
        <w:rPr>
          <w:rStyle w:val="Appelnotedebasdep"/>
          <w:lang w:eastAsia="fr-FR" w:bidi="fr-FR"/>
        </w:rPr>
        <w:footnoteReference w:id="28"/>
      </w:r>
      <w:r w:rsidRPr="00DB6FFA">
        <w:rPr>
          <w:lang w:eastAsia="fr-FR" w:bidi="fr-FR"/>
        </w:rPr>
        <w:t>, tendrait à démontrer que la constitutionnalis</w:t>
      </w:r>
      <w:r w:rsidRPr="00DB6FFA">
        <w:rPr>
          <w:lang w:eastAsia="fr-FR" w:bidi="fr-FR"/>
        </w:rPr>
        <w:t>a</w:t>
      </w:r>
      <w:r w:rsidRPr="00DB6FFA">
        <w:rPr>
          <w:lang w:eastAsia="fr-FR" w:bidi="fr-FR"/>
        </w:rPr>
        <w:t>tion de ces droits est tout à fait possible, à condition de les énoncer en tant que comportement de l’État pl</w:t>
      </w:r>
      <w:r w:rsidRPr="00DB6FFA">
        <w:rPr>
          <w:lang w:eastAsia="fr-FR" w:bidi="fr-FR"/>
        </w:rPr>
        <w:t>u</w:t>
      </w:r>
      <w:r w:rsidRPr="00DB6FFA">
        <w:rPr>
          <w:lang w:eastAsia="fr-FR" w:bidi="fr-FR"/>
        </w:rPr>
        <w:t>tôt que sous forme d’impératifs catégoriques.</w:t>
      </w:r>
    </w:p>
    <w:p w14:paraId="5F82B413" w14:textId="77777777" w:rsidR="00D01ED8" w:rsidRPr="00DB6FFA" w:rsidRDefault="00D01ED8" w:rsidP="00D01ED8">
      <w:pPr>
        <w:spacing w:before="120" w:after="120"/>
        <w:jc w:val="both"/>
      </w:pPr>
      <w:r w:rsidRPr="00DB6FFA">
        <w:rPr>
          <w:lang w:eastAsia="fr-FR" w:bidi="fr-FR"/>
        </w:rPr>
        <w:t xml:space="preserve">Les modèles ne manquent pas, d’ailleurs, comme la </w:t>
      </w:r>
      <w:r w:rsidRPr="00DB6FFA">
        <w:t>Charte sociale eur</w:t>
      </w:r>
      <w:r w:rsidRPr="00DB6FFA">
        <w:t>o</w:t>
      </w:r>
      <w:r w:rsidRPr="00DB6FFA">
        <w:t>péenne</w:t>
      </w:r>
      <w:r w:rsidRPr="00DB6FFA">
        <w:rPr>
          <w:lang w:eastAsia="fr-FR" w:bidi="fr-FR"/>
        </w:rPr>
        <w:t xml:space="preserve"> de 1961 et le </w:t>
      </w:r>
      <w:r w:rsidRPr="007A469B">
        <w:rPr>
          <w:i/>
        </w:rPr>
        <w:t>Code européen de sécurité sociale</w:t>
      </w:r>
      <w:r w:rsidRPr="00DB6FFA">
        <w:rPr>
          <w:lang w:eastAsia="fr-FR" w:bidi="fr-FR"/>
        </w:rPr>
        <w:t xml:space="preserve"> de 1964</w:t>
      </w:r>
      <w:r>
        <w:rPr>
          <w:lang w:eastAsia="fr-FR" w:bidi="fr-FR"/>
        </w:rPr>
        <w:t> </w:t>
      </w:r>
      <w:r>
        <w:rPr>
          <w:rStyle w:val="Appelnotedebasdep"/>
          <w:lang w:eastAsia="fr-FR" w:bidi="fr-FR"/>
        </w:rPr>
        <w:footnoteReference w:id="29"/>
      </w:r>
      <w:r w:rsidRPr="00DB6FFA">
        <w:rPr>
          <w:lang w:eastAsia="fr-FR" w:bidi="fr-FR"/>
        </w:rPr>
        <w:t xml:space="preserve">, qui sont actuellement les deux accords multilatéraux les plus avancés par lesquels les États membres s’engagent à atteindre certains objectifs sociaux </w:t>
      </w:r>
      <w:r>
        <w:rPr>
          <w:lang w:eastAsia="fr-FR" w:bidi="fr-FR"/>
        </w:rPr>
        <w:t>« </w:t>
      </w:r>
      <w:r w:rsidRPr="00DB6FFA">
        <w:rPr>
          <w:lang w:eastAsia="fr-FR" w:bidi="fr-FR"/>
        </w:rPr>
        <w:t>par tous les moyens utiles</w:t>
      </w:r>
      <w:r>
        <w:rPr>
          <w:lang w:eastAsia="fr-FR" w:bidi="fr-FR"/>
        </w:rPr>
        <w:t> »</w:t>
      </w:r>
      <w:r w:rsidRPr="00DB6FFA">
        <w:rPr>
          <w:lang w:eastAsia="fr-FR" w:bidi="fr-FR"/>
        </w:rPr>
        <w:t>. Par exemple, les pa</w:t>
      </w:r>
      <w:r w:rsidRPr="00DB6FFA">
        <w:rPr>
          <w:lang w:eastAsia="fr-FR" w:bidi="fr-FR"/>
        </w:rPr>
        <w:t>r</w:t>
      </w:r>
      <w:r w:rsidRPr="00DB6FFA">
        <w:rPr>
          <w:lang w:eastAsia="fr-FR" w:bidi="fr-FR"/>
        </w:rPr>
        <w:t xml:space="preserve">ties </w:t>
      </w:r>
      <w:r w:rsidRPr="007A469B">
        <w:rPr>
          <w:i/>
        </w:rPr>
        <w:t>reconnaissent comme objectif</w:t>
      </w:r>
      <w:r w:rsidRPr="00DB6FFA">
        <w:rPr>
          <w:lang w:eastAsia="fr-FR" w:bidi="fr-FR"/>
        </w:rPr>
        <w:t xml:space="preserve"> que </w:t>
      </w:r>
      <w:r>
        <w:rPr>
          <w:lang w:eastAsia="fr-FR" w:bidi="fr-FR"/>
        </w:rPr>
        <w:t>« </w:t>
      </w:r>
      <w:r w:rsidRPr="00DB6FFA">
        <w:rPr>
          <w:lang w:eastAsia="fr-FR" w:bidi="fr-FR"/>
        </w:rPr>
        <w:t>toute personne doit avoir la possibilité de gagner sa vie par un travail l</w:t>
      </w:r>
      <w:r w:rsidRPr="00DB6FFA">
        <w:rPr>
          <w:lang w:eastAsia="fr-FR" w:bidi="fr-FR"/>
        </w:rPr>
        <w:t>i</w:t>
      </w:r>
      <w:r w:rsidRPr="00DB6FFA">
        <w:rPr>
          <w:lang w:eastAsia="fr-FR" w:bidi="fr-FR"/>
        </w:rPr>
        <w:t>brement entrepris</w:t>
      </w:r>
      <w:r>
        <w:rPr>
          <w:lang w:eastAsia="fr-FR" w:bidi="fr-FR"/>
        </w:rPr>
        <w:t> »</w:t>
      </w:r>
      <w:r w:rsidRPr="00DB6FFA">
        <w:rPr>
          <w:lang w:eastAsia="fr-FR" w:bidi="fr-FR"/>
        </w:rPr>
        <w:t xml:space="preserve">, puis </w:t>
      </w:r>
      <w:r w:rsidRPr="007A469B">
        <w:rPr>
          <w:i/>
        </w:rPr>
        <w:t>s’engagent </w:t>
      </w:r>
      <w:r>
        <w:t>:</w:t>
      </w:r>
      <w:r w:rsidRPr="00DB6FFA">
        <w:rPr>
          <w:lang w:eastAsia="fr-FR" w:bidi="fr-FR"/>
        </w:rPr>
        <w:t xml:space="preserve"> 1° à reconnaître comme l’une de leurs principales re</w:t>
      </w:r>
      <w:r w:rsidRPr="00DB6FFA">
        <w:rPr>
          <w:lang w:eastAsia="fr-FR" w:bidi="fr-FR"/>
        </w:rPr>
        <w:t>s</w:t>
      </w:r>
      <w:r w:rsidRPr="00DB6FFA">
        <w:rPr>
          <w:lang w:eastAsia="fr-FR" w:bidi="fr-FR"/>
        </w:rPr>
        <w:t xml:space="preserve">ponsabilités </w:t>
      </w:r>
      <w:r>
        <w:rPr>
          <w:lang w:eastAsia="fr-FR" w:bidi="fr-FR"/>
        </w:rPr>
        <w:t>« </w:t>
      </w:r>
      <w:r w:rsidRPr="00DB6FFA">
        <w:rPr>
          <w:lang w:eastAsia="fr-FR" w:bidi="fr-FR"/>
        </w:rPr>
        <w:t>la réalisation et le maintien du niveau le plus élevé et le plus stable possible de l’emploi en vue de la réalisation du plein e</w:t>
      </w:r>
      <w:r w:rsidRPr="00DB6FFA">
        <w:rPr>
          <w:lang w:eastAsia="fr-FR" w:bidi="fr-FR"/>
        </w:rPr>
        <w:t>m</w:t>
      </w:r>
      <w:r w:rsidRPr="00DB6FFA">
        <w:rPr>
          <w:lang w:eastAsia="fr-FR" w:bidi="fr-FR"/>
        </w:rPr>
        <w:t>ploi</w:t>
      </w:r>
      <w:r>
        <w:rPr>
          <w:lang w:eastAsia="fr-FR" w:bidi="fr-FR"/>
        </w:rPr>
        <w:t> » ;</w:t>
      </w:r>
      <w:r w:rsidRPr="00DB6FFA">
        <w:rPr>
          <w:lang w:eastAsia="fr-FR" w:bidi="fr-FR"/>
        </w:rPr>
        <w:t xml:space="preserve"> 2° à protéger de</w:t>
      </w:r>
      <w:r>
        <w:t xml:space="preserve"> [210] </w:t>
      </w:r>
      <w:r w:rsidRPr="00DB6FFA">
        <w:rPr>
          <w:lang w:eastAsia="fr-FR" w:bidi="fr-FR"/>
        </w:rPr>
        <w:t xml:space="preserve">façon efficace le droit pour le travailleur de </w:t>
      </w:r>
      <w:r>
        <w:rPr>
          <w:lang w:eastAsia="fr-FR" w:bidi="fr-FR"/>
        </w:rPr>
        <w:t>« </w:t>
      </w:r>
      <w:r w:rsidRPr="00DB6FFA">
        <w:rPr>
          <w:lang w:eastAsia="fr-FR" w:bidi="fr-FR"/>
        </w:rPr>
        <w:t>gagner sa vie par un travail librement entrepris</w:t>
      </w:r>
      <w:r>
        <w:rPr>
          <w:lang w:eastAsia="fr-FR" w:bidi="fr-FR"/>
        </w:rPr>
        <w:t> » ;</w:t>
      </w:r>
      <w:r w:rsidRPr="00DB6FFA">
        <w:rPr>
          <w:lang w:eastAsia="fr-FR" w:bidi="fr-FR"/>
        </w:rPr>
        <w:t xml:space="preserve"> 3° </w:t>
      </w:r>
      <w:r>
        <w:rPr>
          <w:lang w:eastAsia="fr-FR" w:bidi="fr-FR"/>
        </w:rPr>
        <w:t>« </w:t>
      </w:r>
      <w:r w:rsidRPr="00DB6FFA">
        <w:rPr>
          <w:lang w:eastAsia="fr-FR" w:bidi="fr-FR"/>
        </w:rPr>
        <w:t>à établir [et] à maintenir des services gratuits de l’emploi pour tous les travai</w:t>
      </w:r>
      <w:r w:rsidRPr="00DB6FFA">
        <w:rPr>
          <w:lang w:eastAsia="fr-FR" w:bidi="fr-FR"/>
        </w:rPr>
        <w:t>l</w:t>
      </w:r>
      <w:r w:rsidRPr="00DB6FFA">
        <w:rPr>
          <w:lang w:eastAsia="fr-FR" w:bidi="fr-FR"/>
        </w:rPr>
        <w:t>leurs</w:t>
      </w:r>
      <w:r>
        <w:rPr>
          <w:lang w:eastAsia="fr-FR" w:bidi="fr-FR"/>
        </w:rPr>
        <w:t> »</w:t>
      </w:r>
      <w:r w:rsidRPr="00DB6FFA">
        <w:rPr>
          <w:lang w:eastAsia="fr-FR" w:bidi="fr-FR"/>
        </w:rPr>
        <w:t xml:space="preserve">, et 4° à assurer ou à favoriser </w:t>
      </w:r>
      <w:r>
        <w:rPr>
          <w:lang w:eastAsia="fr-FR" w:bidi="fr-FR"/>
        </w:rPr>
        <w:t>« </w:t>
      </w:r>
      <w:r w:rsidRPr="00DB6FFA">
        <w:rPr>
          <w:lang w:eastAsia="fr-FR" w:bidi="fr-FR"/>
        </w:rPr>
        <w:t>une orientation, une formation et une réadaptation pr</w:t>
      </w:r>
      <w:r w:rsidRPr="00DB6FFA">
        <w:rPr>
          <w:lang w:eastAsia="fr-FR" w:bidi="fr-FR"/>
        </w:rPr>
        <w:t>o</w:t>
      </w:r>
      <w:r w:rsidRPr="00DB6FFA">
        <w:rPr>
          <w:lang w:eastAsia="fr-FR" w:bidi="fr-FR"/>
        </w:rPr>
        <w:t>fessionnelles appropriées</w:t>
      </w:r>
      <w:r>
        <w:rPr>
          <w:lang w:eastAsia="fr-FR" w:bidi="fr-FR"/>
        </w:rPr>
        <w:t> » </w:t>
      </w:r>
      <w:r>
        <w:rPr>
          <w:rStyle w:val="Appelnotedebasdep"/>
          <w:lang w:eastAsia="fr-FR" w:bidi="fr-FR"/>
        </w:rPr>
        <w:footnoteReference w:id="30"/>
      </w:r>
      <w:r w:rsidRPr="00DB6FFA">
        <w:rPr>
          <w:lang w:eastAsia="fr-FR" w:bidi="fr-FR"/>
        </w:rPr>
        <w:t>.</w:t>
      </w:r>
    </w:p>
    <w:p w14:paraId="34431432" w14:textId="77777777" w:rsidR="00D01ED8" w:rsidRPr="00DB6FFA" w:rsidRDefault="00D01ED8" w:rsidP="00D01ED8">
      <w:pPr>
        <w:spacing w:before="120" w:after="120"/>
        <w:jc w:val="both"/>
      </w:pPr>
      <w:r w:rsidRPr="00DB6FFA">
        <w:rPr>
          <w:lang w:eastAsia="fr-FR" w:bidi="fr-FR"/>
        </w:rPr>
        <w:t>On voit que les obligations ainsi assumées par les États portent d</w:t>
      </w:r>
      <w:r w:rsidRPr="00DB6FFA">
        <w:rPr>
          <w:lang w:eastAsia="fr-FR" w:bidi="fr-FR"/>
        </w:rPr>
        <w:t>a</w:t>
      </w:r>
      <w:r w:rsidRPr="00DB6FFA">
        <w:rPr>
          <w:lang w:eastAsia="fr-FR" w:bidi="fr-FR"/>
        </w:rPr>
        <w:t>vant</w:t>
      </w:r>
      <w:r w:rsidRPr="00DB6FFA">
        <w:rPr>
          <w:lang w:eastAsia="fr-FR" w:bidi="fr-FR"/>
        </w:rPr>
        <w:t>a</w:t>
      </w:r>
      <w:r w:rsidRPr="00DB6FFA">
        <w:rPr>
          <w:lang w:eastAsia="fr-FR" w:bidi="fr-FR"/>
        </w:rPr>
        <w:t>ge sur leur comportement que sur le résultat de leurs politiques sociales, lequel ne saurait être garanti de façon absolue. On peut con</w:t>
      </w:r>
      <w:r w:rsidRPr="00DB6FFA">
        <w:rPr>
          <w:lang w:eastAsia="fr-FR" w:bidi="fr-FR"/>
        </w:rPr>
        <w:t>s</w:t>
      </w:r>
      <w:r w:rsidRPr="00DB6FFA">
        <w:rPr>
          <w:lang w:eastAsia="fr-FR" w:bidi="fr-FR"/>
        </w:rPr>
        <w:t>tater également que le passage de la situation actuelle à cette oblig</w:t>
      </w:r>
      <w:r w:rsidRPr="00DB6FFA">
        <w:rPr>
          <w:lang w:eastAsia="fr-FR" w:bidi="fr-FR"/>
        </w:rPr>
        <w:t>a</w:t>
      </w:r>
      <w:r w:rsidRPr="00DB6FFA">
        <w:rPr>
          <w:lang w:eastAsia="fr-FR" w:bidi="fr-FR"/>
        </w:rPr>
        <w:t>tion de comportement ne sera pas facile dans le contexte nord-américain qui est de plus en plus celui du Québec</w:t>
      </w:r>
      <w:r>
        <w:rPr>
          <w:lang w:eastAsia="fr-FR" w:bidi="fr-FR"/>
        </w:rPr>
        <w:t> ;</w:t>
      </w:r>
      <w:r w:rsidRPr="00DB6FFA">
        <w:rPr>
          <w:lang w:eastAsia="fr-FR" w:bidi="fr-FR"/>
        </w:rPr>
        <w:t xml:space="preserve"> nous reviendrons sur ce point.</w:t>
      </w:r>
    </w:p>
    <w:p w14:paraId="0C6A8D19" w14:textId="77777777" w:rsidR="00D01ED8" w:rsidRPr="00DB6FFA" w:rsidRDefault="00D01ED8" w:rsidP="00D01ED8">
      <w:pPr>
        <w:spacing w:before="120" w:after="120"/>
        <w:jc w:val="both"/>
      </w:pPr>
      <w:r w:rsidRPr="00477339">
        <w:rPr>
          <w:i/>
          <w:lang w:eastAsia="fr-FR" w:bidi="fr-FR"/>
        </w:rPr>
        <w:t xml:space="preserve">La </w:t>
      </w:r>
      <w:r w:rsidRPr="00477339">
        <w:rPr>
          <w:i/>
        </w:rPr>
        <w:t>Charte canadienne des droits et libertés</w:t>
      </w:r>
      <w:r w:rsidRPr="00DB6FFA">
        <w:t>,</w:t>
      </w:r>
      <w:r w:rsidRPr="00DB6FFA">
        <w:rPr>
          <w:lang w:eastAsia="fr-FR" w:bidi="fr-FR"/>
        </w:rPr>
        <w:t xml:space="preserve"> qui vient en tête de la </w:t>
      </w:r>
      <w:r w:rsidRPr="00477339">
        <w:rPr>
          <w:i/>
        </w:rPr>
        <w:t>Loi con</w:t>
      </w:r>
      <w:r w:rsidRPr="00477339">
        <w:rPr>
          <w:i/>
        </w:rPr>
        <w:t>s</w:t>
      </w:r>
      <w:r w:rsidRPr="00477339">
        <w:rPr>
          <w:i/>
        </w:rPr>
        <w:t>titutionnelle de 1982</w:t>
      </w:r>
      <w:r w:rsidRPr="00DB6FFA">
        <w:t>,</w:t>
      </w:r>
      <w:r w:rsidRPr="00DB6FFA">
        <w:rPr>
          <w:lang w:eastAsia="fr-FR" w:bidi="fr-FR"/>
        </w:rPr>
        <w:t xml:space="preserve"> apporte la garantie de la Constitution fédérative</w:t>
      </w:r>
      <w:r>
        <w:rPr>
          <w:lang w:eastAsia="fr-FR" w:bidi="fr-FR"/>
        </w:rPr>
        <w:t> </w:t>
      </w:r>
      <w:r>
        <w:rPr>
          <w:rStyle w:val="Appelnotedebasdep"/>
          <w:lang w:eastAsia="fr-FR" w:bidi="fr-FR"/>
        </w:rPr>
        <w:footnoteReference w:id="31"/>
      </w:r>
      <w:r w:rsidRPr="00DB6FFA">
        <w:rPr>
          <w:lang w:eastAsia="fr-FR" w:bidi="fr-FR"/>
        </w:rPr>
        <w:t xml:space="preserve"> à un ensemble de règles qui ressemble fort à celui de la Charte québécoise, dans le contenu plus que dans la forme cependant, le constituant canadien s’étant abreuvé, à peu de chose près, aux m</w:t>
      </w:r>
      <w:r w:rsidRPr="00DB6FFA">
        <w:rPr>
          <w:lang w:eastAsia="fr-FR" w:bidi="fr-FR"/>
        </w:rPr>
        <w:t>ê</w:t>
      </w:r>
      <w:r w:rsidRPr="00DB6FFA">
        <w:rPr>
          <w:lang w:eastAsia="fr-FR" w:bidi="fr-FR"/>
        </w:rPr>
        <w:t>mes sources que le législateur québécois. Cependant, si la Constit</w:t>
      </w:r>
      <w:r w:rsidRPr="00DB6FFA">
        <w:rPr>
          <w:lang w:eastAsia="fr-FR" w:bidi="fr-FR"/>
        </w:rPr>
        <w:t>u</w:t>
      </w:r>
      <w:r w:rsidRPr="00DB6FFA">
        <w:rPr>
          <w:lang w:eastAsia="fr-FR" w:bidi="fr-FR"/>
        </w:rPr>
        <w:t>tion rend explicitement inopérante toute règle de droit non compatible avec ses termes, elle n’en autorise pas moins les dérogations expresses de la part du Parlement et des Assemblées aux libertés fond</w:t>
      </w:r>
      <w:r w:rsidRPr="00DB6FFA">
        <w:rPr>
          <w:lang w:eastAsia="fr-FR" w:bidi="fr-FR"/>
        </w:rPr>
        <w:t>a</w:t>
      </w:r>
      <w:r w:rsidRPr="00DB6FFA">
        <w:rPr>
          <w:lang w:eastAsia="fr-FR" w:bidi="fr-FR"/>
        </w:rPr>
        <w:t xml:space="preserve">mentales et aux </w:t>
      </w:r>
      <w:r>
        <w:rPr>
          <w:lang w:eastAsia="fr-FR" w:bidi="fr-FR"/>
        </w:rPr>
        <w:t>« </w:t>
      </w:r>
      <w:r w:rsidRPr="00DB6FFA">
        <w:rPr>
          <w:lang w:eastAsia="fr-FR" w:bidi="fr-FR"/>
        </w:rPr>
        <w:t>garanties juridiques</w:t>
      </w:r>
      <w:r>
        <w:rPr>
          <w:lang w:eastAsia="fr-FR" w:bidi="fr-FR"/>
        </w:rPr>
        <w:t> »</w:t>
      </w:r>
      <w:r w:rsidRPr="00DB6FFA">
        <w:rPr>
          <w:lang w:eastAsia="fr-FR" w:bidi="fr-FR"/>
        </w:rPr>
        <w:t xml:space="preserve"> qui portent sur le droit à la vie, à la l</w:t>
      </w:r>
      <w:r w:rsidRPr="00DB6FFA">
        <w:rPr>
          <w:lang w:eastAsia="fr-FR" w:bidi="fr-FR"/>
        </w:rPr>
        <w:t>i</w:t>
      </w:r>
      <w:r w:rsidRPr="00DB6FFA">
        <w:rPr>
          <w:lang w:eastAsia="fr-FR" w:bidi="fr-FR"/>
        </w:rPr>
        <w:t>be</w:t>
      </w:r>
      <w:r w:rsidRPr="00DB6FFA">
        <w:rPr>
          <w:lang w:eastAsia="fr-FR" w:bidi="fr-FR"/>
        </w:rPr>
        <w:t>r</w:t>
      </w:r>
      <w:r w:rsidRPr="00DB6FFA">
        <w:rPr>
          <w:lang w:eastAsia="fr-FR" w:bidi="fr-FR"/>
        </w:rPr>
        <w:t>té et à la sécurité de la personne ainsi que sur ses droits en cas d’arrestation ou de détention</w:t>
      </w:r>
      <w:r>
        <w:rPr>
          <w:lang w:eastAsia="fr-FR" w:bidi="fr-FR"/>
        </w:rPr>
        <w:t> </w:t>
      </w:r>
      <w:r>
        <w:rPr>
          <w:rStyle w:val="Appelnotedebasdep"/>
          <w:lang w:eastAsia="fr-FR" w:bidi="fr-FR"/>
        </w:rPr>
        <w:footnoteReference w:id="32"/>
      </w:r>
      <w:r w:rsidRPr="00DB6FFA">
        <w:rPr>
          <w:lang w:eastAsia="fr-FR" w:bidi="fr-FR"/>
        </w:rPr>
        <w:t>.</w:t>
      </w:r>
    </w:p>
    <w:p w14:paraId="6EB39DC5" w14:textId="77777777" w:rsidR="00D01ED8" w:rsidRPr="00DB6FFA" w:rsidRDefault="00D01ED8" w:rsidP="00D01ED8">
      <w:pPr>
        <w:spacing w:before="120" w:after="120"/>
        <w:jc w:val="both"/>
      </w:pPr>
      <w:r w:rsidRPr="00DB6FFA">
        <w:rPr>
          <w:lang w:eastAsia="fr-FR" w:bidi="fr-FR"/>
        </w:rPr>
        <w:t>On peut mesurer l’étendue et la gravité de pareilles dérogations quand on sait que les arrestations d’octobre 1970 purent être effe</w:t>
      </w:r>
      <w:r w:rsidRPr="00DB6FFA">
        <w:rPr>
          <w:lang w:eastAsia="fr-FR" w:bidi="fr-FR"/>
        </w:rPr>
        <w:t>c</w:t>
      </w:r>
      <w:r w:rsidRPr="00DB6FFA">
        <w:rPr>
          <w:lang w:eastAsia="fr-FR" w:bidi="fr-FR"/>
        </w:rPr>
        <w:t xml:space="preserve">tuées en dépit de la </w:t>
      </w:r>
      <w:r w:rsidRPr="00477339">
        <w:rPr>
          <w:i/>
        </w:rPr>
        <w:t>Déclaration canadienne des droits</w:t>
      </w:r>
      <w:r w:rsidRPr="00DB6FFA">
        <w:t>,</w:t>
      </w:r>
      <w:r w:rsidRPr="00DB6FFA">
        <w:rPr>
          <w:lang w:eastAsia="fr-FR" w:bidi="fr-FR"/>
        </w:rPr>
        <w:t xml:space="preserve"> à laquelle d</w:t>
      </w:r>
      <w:r w:rsidRPr="00DB6FFA">
        <w:rPr>
          <w:lang w:eastAsia="fr-FR" w:bidi="fr-FR"/>
        </w:rPr>
        <w:t>é</w:t>
      </w:r>
      <w:r w:rsidRPr="00DB6FFA">
        <w:rPr>
          <w:lang w:eastAsia="fr-FR" w:bidi="fr-FR"/>
        </w:rPr>
        <w:t xml:space="preserve">rogeait la </w:t>
      </w:r>
      <w:r w:rsidRPr="00477339">
        <w:rPr>
          <w:i/>
        </w:rPr>
        <w:t>Loi sur les mesures de guerre</w:t>
      </w:r>
      <w:r w:rsidRPr="00DB6FFA">
        <w:t>,</w:t>
      </w:r>
      <w:r w:rsidRPr="00DB6FFA">
        <w:rPr>
          <w:lang w:eastAsia="fr-FR" w:bidi="fr-FR"/>
        </w:rPr>
        <w:t xml:space="preserve"> même dans le cas d’une i</w:t>
      </w:r>
      <w:r w:rsidRPr="00DB6FFA">
        <w:rPr>
          <w:lang w:eastAsia="fr-FR" w:bidi="fr-FR"/>
        </w:rPr>
        <w:t>n</w:t>
      </w:r>
      <w:r w:rsidRPr="00DB6FFA">
        <w:rPr>
          <w:lang w:eastAsia="fr-FR" w:bidi="fr-FR"/>
        </w:rPr>
        <w:t xml:space="preserve">surrection simplement </w:t>
      </w:r>
      <w:r>
        <w:rPr>
          <w:lang w:eastAsia="fr-FR" w:bidi="fr-FR"/>
        </w:rPr>
        <w:t>« </w:t>
      </w:r>
      <w:r w:rsidRPr="00DB6FFA">
        <w:rPr>
          <w:lang w:eastAsia="fr-FR" w:bidi="fr-FR"/>
        </w:rPr>
        <w:t>appréhe</w:t>
      </w:r>
      <w:r w:rsidRPr="00DB6FFA">
        <w:rPr>
          <w:lang w:eastAsia="fr-FR" w:bidi="fr-FR"/>
        </w:rPr>
        <w:t>n</w:t>
      </w:r>
      <w:r w:rsidRPr="00DB6FFA">
        <w:rPr>
          <w:lang w:eastAsia="fr-FR" w:bidi="fr-FR"/>
        </w:rPr>
        <w:t>dée</w:t>
      </w:r>
      <w:r>
        <w:rPr>
          <w:lang w:eastAsia="fr-FR" w:bidi="fr-FR"/>
        </w:rPr>
        <w:t> »</w:t>
      </w:r>
      <w:r w:rsidRPr="00DB6FFA">
        <w:rPr>
          <w:lang w:eastAsia="fr-FR" w:bidi="fr-FR"/>
        </w:rPr>
        <w:t xml:space="preserve">. Aussi était-il nécessaire que la nouvelle </w:t>
      </w:r>
      <w:r w:rsidRPr="00477339">
        <w:rPr>
          <w:i/>
        </w:rPr>
        <w:t>Loi sur les mesures d’urgence</w:t>
      </w:r>
      <w:r>
        <w:rPr>
          <w:lang w:eastAsia="fr-FR" w:bidi="fr-FR"/>
        </w:rPr>
        <w:t> </w:t>
      </w:r>
      <w:r>
        <w:rPr>
          <w:rStyle w:val="Appelnotedebasdep"/>
          <w:lang w:eastAsia="fr-FR" w:bidi="fr-FR"/>
        </w:rPr>
        <w:footnoteReference w:id="33"/>
      </w:r>
      <w:r w:rsidRPr="00DB6FFA">
        <w:rPr>
          <w:lang w:eastAsia="fr-FR" w:bidi="fr-FR"/>
        </w:rPr>
        <w:t>, ado</w:t>
      </w:r>
      <w:r w:rsidRPr="00DB6FFA">
        <w:rPr>
          <w:lang w:eastAsia="fr-FR" w:bidi="fr-FR"/>
        </w:rPr>
        <w:t>p</w:t>
      </w:r>
      <w:r w:rsidRPr="00DB6FFA">
        <w:rPr>
          <w:lang w:eastAsia="fr-FR" w:bidi="fr-FR"/>
        </w:rPr>
        <w:t>tée par la Chambre des communes le 27 avril 1988, mais qui n’est pas encore entrée en vigueur au moment de ce colloque, vînt corr</w:t>
      </w:r>
      <w:r w:rsidRPr="00DB6FFA">
        <w:rPr>
          <w:lang w:eastAsia="fr-FR" w:bidi="fr-FR"/>
        </w:rPr>
        <w:t>i</w:t>
      </w:r>
      <w:r w:rsidRPr="00DB6FFA">
        <w:rPr>
          <w:lang w:eastAsia="fr-FR" w:bidi="fr-FR"/>
        </w:rPr>
        <w:t>ger,</w:t>
      </w:r>
      <w:r>
        <w:t xml:space="preserve"> [211] </w:t>
      </w:r>
      <w:r w:rsidRPr="00DB6FFA">
        <w:rPr>
          <w:lang w:eastAsia="fr-FR" w:bidi="fr-FR"/>
        </w:rPr>
        <w:t>du moins en partie, cette contradiction flagrante entre les principes et les réalités. Il ne sera plus possible, par un simple décret ou règl</w:t>
      </w:r>
      <w:r w:rsidRPr="00DB6FFA">
        <w:rPr>
          <w:lang w:eastAsia="fr-FR" w:bidi="fr-FR"/>
        </w:rPr>
        <w:t>e</w:t>
      </w:r>
      <w:r w:rsidRPr="00DB6FFA">
        <w:rPr>
          <w:lang w:eastAsia="fr-FR" w:bidi="fr-FR"/>
        </w:rPr>
        <w:t>ment, d’abolir les garanties constitutionnelles en cas d’arrestation ou de détention, ni de confisquer arbitrairement les biens des personnes, mais le gouvern</w:t>
      </w:r>
      <w:r w:rsidRPr="00DB6FFA">
        <w:rPr>
          <w:lang w:eastAsia="fr-FR" w:bidi="fr-FR"/>
        </w:rPr>
        <w:t>e</w:t>
      </w:r>
      <w:r w:rsidRPr="00DB6FFA">
        <w:rPr>
          <w:lang w:eastAsia="fr-FR" w:bidi="fr-FR"/>
        </w:rPr>
        <w:t>ment pou</w:t>
      </w:r>
      <w:r w:rsidRPr="00DB6FFA">
        <w:rPr>
          <w:lang w:eastAsia="fr-FR" w:bidi="fr-FR"/>
        </w:rPr>
        <w:t>r</w:t>
      </w:r>
      <w:r w:rsidRPr="00DB6FFA">
        <w:rPr>
          <w:lang w:eastAsia="fr-FR" w:bidi="fr-FR"/>
        </w:rPr>
        <w:t>ra suspendre la liberté de réunion pacifique et la liberté de circulation</w:t>
      </w:r>
      <w:r>
        <w:rPr>
          <w:lang w:eastAsia="fr-FR" w:bidi="fr-FR"/>
        </w:rPr>
        <w:t> </w:t>
      </w:r>
      <w:r>
        <w:rPr>
          <w:rStyle w:val="Appelnotedebasdep"/>
          <w:lang w:eastAsia="fr-FR" w:bidi="fr-FR"/>
        </w:rPr>
        <w:footnoteReference w:id="34"/>
      </w:r>
      <w:r w:rsidRPr="00DB6FFA">
        <w:rPr>
          <w:lang w:eastAsia="fr-FR" w:bidi="fr-FR"/>
        </w:rPr>
        <w:t>.</w:t>
      </w:r>
    </w:p>
    <w:p w14:paraId="7BB8766A" w14:textId="77777777" w:rsidR="00D01ED8" w:rsidRPr="00DB6FFA" w:rsidRDefault="00D01ED8" w:rsidP="00D01ED8">
      <w:pPr>
        <w:spacing w:before="120" w:after="120"/>
        <w:jc w:val="both"/>
      </w:pPr>
      <w:r w:rsidRPr="00DB6FFA">
        <w:rPr>
          <w:lang w:eastAsia="fr-FR" w:bidi="fr-FR"/>
        </w:rPr>
        <w:t>Le Parlement devra désormais ratifier la déclaration de situation de crise dans les sept jours et pourra être saisi en tout temps d’une m</w:t>
      </w:r>
      <w:r w:rsidRPr="00DB6FFA">
        <w:rPr>
          <w:lang w:eastAsia="fr-FR" w:bidi="fr-FR"/>
        </w:rPr>
        <w:t>o</w:t>
      </w:r>
      <w:r w:rsidRPr="00DB6FFA">
        <w:rPr>
          <w:lang w:eastAsia="fr-FR" w:bidi="fr-FR"/>
        </w:rPr>
        <w:t>tion d’abrogation par vingt députés ou dix sénateurs</w:t>
      </w:r>
      <w:r>
        <w:rPr>
          <w:lang w:eastAsia="fr-FR" w:bidi="fr-FR"/>
        </w:rPr>
        <w:t> </w:t>
      </w:r>
      <w:r>
        <w:rPr>
          <w:rStyle w:val="Appelnotedebasdep"/>
          <w:lang w:eastAsia="fr-FR" w:bidi="fr-FR"/>
        </w:rPr>
        <w:footnoteReference w:id="35"/>
      </w:r>
      <w:r>
        <w:rPr>
          <w:lang w:eastAsia="fr-FR" w:bidi="fr-FR"/>
        </w:rPr>
        <w:t> ;</w:t>
      </w:r>
      <w:r w:rsidRPr="00DB6FFA">
        <w:rPr>
          <w:lang w:eastAsia="fr-FR" w:bidi="fr-FR"/>
        </w:rPr>
        <w:t xml:space="preserve"> enfin, on a prévu un système d’indemnisation des victimes éventuelles des mes</w:t>
      </w:r>
      <w:r w:rsidRPr="00DB6FFA">
        <w:rPr>
          <w:lang w:eastAsia="fr-FR" w:bidi="fr-FR"/>
        </w:rPr>
        <w:t>u</w:t>
      </w:r>
      <w:r w:rsidRPr="00DB6FFA">
        <w:rPr>
          <w:lang w:eastAsia="fr-FR" w:bidi="fr-FR"/>
        </w:rPr>
        <w:t>res d’urgence</w:t>
      </w:r>
      <w:r>
        <w:rPr>
          <w:lang w:eastAsia="fr-FR" w:bidi="fr-FR"/>
        </w:rPr>
        <w:t> </w:t>
      </w:r>
      <w:r>
        <w:rPr>
          <w:rStyle w:val="Appelnotedebasdep"/>
          <w:lang w:eastAsia="fr-FR" w:bidi="fr-FR"/>
        </w:rPr>
        <w:footnoteReference w:id="36"/>
      </w:r>
      <w:r w:rsidRPr="00DB6FFA">
        <w:rPr>
          <w:lang w:eastAsia="fr-FR" w:bidi="fr-FR"/>
        </w:rPr>
        <w:t>. On doit conserver à l’esprit, cependant, qu’en dépit des assurances données dans le préambule de la loi, selon lequel le gouvernement demeurerait assujetti à la Charte et à la Déclaration c</w:t>
      </w:r>
      <w:r w:rsidRPr="00DB6FFA">
        <w:rPr>
          <w:lang w:eastAsia="fr-FR" w:bidi="fr-FR"/>
        </w:rPr>
        <w:t>a</w:t>
      </w:r>
      <w:r w:rsidRPr="00DB6FFA">
        <w:rPr>
          <w:lang w:eastAsia="fr-FR" w:bidi="fr-FR"/>
        </w:rPr>
        <w:t>nadiennes, rien n’empêche le législ</w:t>
      </w:r>
      <w:r w:rsidRPr="00DB6FFA">
        <w:rPr>
          <w:lang w:eastAsia="fr-FR" w:bidi="fr-FR"/>
        </w:rPr>
        <w:t>a</w:t>
      </w:r>
      <w:r w:rsidRPr="00DB6FFA">
        <w:rPr>
          <w:lang w:eastAsia="fr-FR" w:bidi="fr-FR"/>
        </w:rPr>
        <w:t>teur d’adopter d’autres lois s’appliquant indépendamment des libertés fo</w:t>
      </w:r>
      <w:r w:rsidRPr="00DB6FFA">
        <w:rPr>
          <w:lang w:eastAsia="fr-FR" w:bidi="fr-FR"/>
        </w:rPr>
        <w:t>n</w:t>
      </w:r>
      <w:r w:rsidRPr="00DB6FFA">
        <w:rPr>
          <w:lang w:eastAsia="fr-FR" w:bidi="fr-FR"/>
        </w:rPr>
        <w:t>damentales ou des droits à la vie, à la liberté et à la sécurité de la personne.</w:t>
      </w:r>
    </w:p>
    <w:p w14:paraId="6EA3B76B" w14:textId="77777777" w:rsidR="00D01ED8" w:rsidRPr="00DB6FFA" w:rsidRDefault="00D01ED8" w:rsidP="00D01ED8">
      <w:pPr>
        <w:spacing w:before="120" w:after="120"/>
        <w:jc w:val="both"/>
      </w:pPr>
      <w:r w:rsidRPr="00DB6FFA">
        <w:rPr>
          <w:lang w:eastAsia="fr-FR" w:bidi="fr-FR"/>
        </w:rPr>
        <w:t xml:space="preserve">Malgré cette marge de manœuvre réservée à la </w:t>
      </w:r>
      <w:r>
        <w:rPr>
          <w:lang w:eastAsia="fr-FR" w:bidi="fr-FR"/>
        </w:rPr>
        <w:t>« </w:t>
      </w:r>
      <w:r w:rsidRPr="00DB6FFA">
        <w:rPr>
          <w:lang w:eastAsia="fr-FR" w:bidi="fr-FR"/>
        </w:rPr>
        <w:t>souveraineté</w:t>
      </w:r>
      <w:r>
        <w:rPr>
          <w:lang w:eastAsia="fr-FR" w:bidi="fr-FR"/>
        </w:rPr>
        <w:t> »</w:t>
      </w:r>
      <w:r w:rsidRPr="00DB6FFA">
        <w:rPr>
          <w:lang w:eastAsia="fr-FR" w:bidi="fr-FR"/>
        </w:rPr>
        <w:t xml:space="preserve"> parlementaire, il est indéniable que les droits de la personne const</w:t>
      </w:r>
      <w:r w:rsidRPr="00DB6FFA">
        <w:rPr>
          <w:lang w:eastAsia="fr-FR" w:bidi="fr-FR"/>
        </w:rPr>
        <w:t>i</w:t>
      </w:r>
      <w:r w:rsidRPr="00DB6FFA">
        <w:rPr>
          <w:lang w:eastAsia="fr-FR" w:bidi="fr-FR"/>
        </w:rPr>
        <w:t>tuent désormais une préoccupation majeure du constituant et du lég</w:t>
      </w:r>
      <w:r w:rsidRPr="00DB6FFA">
        <w:rPr>
          <w:lang w:eastAsia="fr-FR" w:bidi="fr-FR"/>
        </w:rPr>
        <w:t>i</w:t>
      </w:r>
      <w:r w:rsidRPr="00DB6FFA">
        <w:rPr>
          <w:lang w:eastAsia="fr-FR" w:bidi="fr-FR"/>
        </w:rPr>
        <w:t>slateur</w:t>
      </w:r>
      <w:r>
        <w:rPr>
          <w:lang w:eastAsia="fr-FR" w:bidi="fr-FR"/>
        </w:rPr>
        <w:t> ;</w:t>
      </w:r>
      <w:r w:rsidRPr="00DB6FFA">
        <w:rPr>
          <w:lang w:eastAsia="fr-FR" w:bidi="fr-FR"/>
        </w:rPr>
        <w:t xml:space="preserve"> l’invraisemblable c</w:t>
      </w:r>
      <w:r w:rsidRPr="00DB6FFA">
        <w:rPr>
          <w:lang w:eastAsia="fr-FR" w:bidi="fr-FR"/>
        </w:rPr>
        <w:t>a</w:t>
      </w:r>
      <w:r w:rsidRPr="00DB6FFA">
        <w:rPr>
          <w:lang w:eastAsia="fr-FR" w:bidi="fr-FR"/>
        </w:rPr>
        <w:t>fouillage de 1970 y fut sans doute pour quelque chose, mais il y eut également à cette évolution des raisons plus pr</w:t>
      </w:r>
      <w:r w:rsidRPr="00DB6FFA">
        <w:rPr>
          <w:lang w:eastAsia="fr-FR" w:bidi="fr-FR"/>
        </w:rPr>
        <w:t>o</w:t>
      </w:r>
      <w:r w:rsidRPr="00DB6FFA">
        <w:rPr>
          <w:lang w:eastAsia="fr-FR" w:bidi="fr-FR"/>
        </w:rPr>
        <w:t>fondes à propos desquelles il est permis d’émettre quelques hypoth</w:t>
      </w:r>
      <w:r w:rsidRPr="00DB6FFA">
        <w:rPr>
          <w:lang w:eastAsia="fr-FR" w:bidi="fr-FR"/>
        </w:rPr>
        <w:t>è</w:t>
      </w:r>
      <w:r w:rsidRPr="00DB6FFA">
        <w:rPr>
          <w:lang w:eastAsia="fr-FR" w:bidi="fr-FR"/>
        </w:rPr>
        <w:t>ses.</w:t>
      </w:r>
    </w:p>
    <w:p w14:paraId="19C067E7" w14:textId="77777777" w:rsidR="00D01ED8" w:rsidRDefault="00D01ED8" w:rsidP="00D01ED8">
      <w:pPr>
        <w:spacing w:before="120" w:after="120"/>
        <w:jc w:val="both"/>
      </w:pPr>
      <w:r w:rsidRPr="00DB6FFA">
        <w:rPr>
          <w:lang w:eastAsia="fr-FR" w:bidi="fr-FR"/>
        </w:rPr>
        <w:t>Il fut un temps où, pour parler comme le regretté George Grant</w:t>
      </w:r>
      <w:r>
        <w:rPr>
          <w:lang w:eastAsia="fr-FR" w:bidi="fr-FR"/>
        </w:rPr>
        <w:t> </w:t>
      </w:r>
      <w:r>
        <w:rPr>
          <w:rStyle w:val="Appelnotedebasdep"/>
          <w:lang w:eastAsia="fr-FR" w:bidi="fr-FR"/>
        </w:rPr>
        <w:footnoteReference w:id="37"/>
      </w:r>
      <w:r w:rsidRPr="00DB6FFA">
        <w:rPr>
          <w:lang w:eastAsia="fr-FR" w:bidi="fr-FR"/>
        </w:rPr>
        <w:t>, la vertu était plus importante que la liberté aux yeux des Anglo-Canadiens et des Québécois, mais cette caractéristique, qui les disti</w:t>
      </w:r>
      <w:r w:rsidRPr="00DB6FFA">
        <w:rPr>
          <w:lang w:eastAsia="fr-FR" w:bidi="fr-FR"/>
        </w:rPr>
        <w:t>n</w:t>
      </w:r>
      <w:r w:rsidRPr="00DB6FFA">
        <w:rPr>
          <w:lang w:eastAsia="fr-FR" w:bidi="fr-FR"/>
        </w:rPr>
        <w:t>guait des Américains aux yeux du philosophe, n’a pas résisté au temps ni au rétrécissement de l’espace nord-américain</w:t>
      </w:r>
      <w:r>
        <w:rPr>
          <w:lang w:eastAsia="fr-FR" w:bidi="fr-FR"/>
        </w:rPr>
        <w:t> :</w:t>
      </w:r>
      <w:r w:rsidRPr="00DB6FFA">
        <w:rPr>
          <w:lang w:eastAsia="fr-FR" w:bidi="fr-FR"/>
        </w:rPr>
        <w:t xml:space="preserve"> depuis la Seconde Guerre mondiale, le Canada a</w:t>
      </w:r>
      <w:r w:rsidRPr="00DB6FFA">
        <w:rPr>
          <w:lang w:eastAsia="fr-FR" w:bidi="fr-FR"/>
        </w:rPr>
        <w:t>n</w:t>
      </w:r>
      <w:r w:rsidRPr="00DB6FFA">
        <w:rPr>
          <w:lang w:eastAsia="fr-FR" w:bidi="fr-FR"/>
        </w:rPr>
        <w:t xml:space="preserve">glais a vu son échelle de valeurs se transformer pour se rapprocher de celle des États-Unis. De ce point de vue, l’accent sur les </w:t>
      </w:r>
      <w:r w:rsidRPr="00477339">
        <w:rPr>
          <w:i/>
        </w:rPr>
        <w:t>Bills of Rights</w:t>
      </w:r>
      <w:r w:rsidRPr="00DB6FFA">
        <w:rPr>
          <w:lang w:eastAsia="fr-FR" w:bidi="fr-FR"/>
        </w:rPr>
        <w:t xml:space="preserve"> et, dans un autre ordre d’idées, le libre-échange sont l’aboutissement de la nord-américanisation gr</w:t>
      </w:r>
      <w:r w:rsidRPr="00DB6FFA">
        <w:rPr>
          <w:lang w:eastAsia="fr-FR" w:bidi="fr-FR"/>
        </w:rPr>
        <w:t>a</w:t>
      </w:r>
      <w:r w:rsidRPr="00DB6FFA">
        <w:rPr>
          <w:lang w:eastAsia="fr-FR" w:bidi="fr-FR"/>
        </w:rPr>
        <w:t>duelle, mais sûre, des Anglo-Canadiens et, dans une certaine mesure égal</w:t>
      </w:r>
      <w:r w:rsidRPr="00DB6FFA">
        <w:rPr>
          <w:lang w:eastAsia="fr-FR" w:bidi="fr-FR"/>
        </w:rPr>
        <w:t>e</w:t>
      </w:r>
      <w:r w:rsidRPr="00DB6FFA">
        <w:rPr>
          <w:lang w:eastAsia="fr-FR" w:bidi="fr-FR"/>
        </w:rPr>
        <w:t>ment, du Québec.</w:t>
      </w:r>
    </w:p>
    <w:p w14:paraId="055ECF48" w14:textId="77777777" w:rsidR="00D01ED8" w:rsidRDefault="00D01ED8" w:rsidP="00D01ED8">
      <w:pPr>
        <w:spacing w:before="120" w:after="120"/>
        <w:jc w:val="both"/>
      </w:pPr>
      <w:r>
        <w:t>[212]</w:t>
      </w:r>
    </w:p>
    <w:p w14:paraId="21429FC6" w14:textId="77777777" w:rsidR="00D01ED8" w:rsidRPr="00DB6FFA" w:rsidRDefault="00D01ED8" w:rsidP="00D01ED8">
      <w:pPr>
        <w:spacing w:before="120" w:after="120"/>
        <w:jc w:val="both"/>
      </w:pPr>
      <w:r w:rsidRPr="00DB6FFA">
        <w:rPr>
          <w:lang w:eastAsia="fr-FR" w:bidi="fr-FR"/>
        </w:rPr>
        <w:t>Certes, le contexte mondial dans lequel nous sommes plongés d</w:t>
      </w:r>
      <w:r w:rsidRPr="00DB6FFA">
        <w:rPr>
          <w:lang w:eastAsia="fr-FR" w:bidi="fr-FR"/>
        </w:rPr>
        <w:t>e</w:t>
      </w:r>
      <w:r w:rsidRPr="00DB6FFA">
        <w:rPr>
          <w:lang w:eastAsia="fr-FR" w:bidi="fr-FR"/>
        </w:rPr>
        <w:t>puis un demi-siècle vient également influencer cette évolution. La préoccupation en faveur des droits de l’homme est devenue universe</w:t>
      </w:r>
      <w:r w:rsidRPr="00DB6FFA">
        <w:rPr>
          <w:lang w:eastAsia="fr-FR" w:bidi="fr-FR"/>
        </w:rPr>
        <w:t>l</w:t>
      </w:r>
      <w:r w:rsidRPr="00DB6FFA">
        <w:rPr>
          <w:lang w:eastAsia="fr-FR" w:bidi="fr-FR"/>
        </w:rPr>
        <w:t>le, même si l’instrument initial, la Déclaration de l’ONU de 1948, était d’inspiration occidentale et constituait, dans sa rédaction même, un compromis entre l’Est et l’Ouest. C</w:t>
      </w:r>
      <w:r w:rsidRPr="00DB6FFA">
        <w:rPr>
          <w:lang w:eastAsia="fr-FR" w:bidi="fr-FR"/>
        </w:rPr>
        <w:t>e</w:t>
      </w:r>
      <w:r w:rsidRPr="00DB6FFA">
        <w:rPr>
          <w:lang w:eastAsia="fr-FR" w:bidi="fr-FR"/>
        </w:rPr>
        <w:t>pendant, il y a lieu d’observer que la tradition européenne, qui, depuis la Pr</w:t>
      </w:r>
      <w:r w:rsidRPr="00DB6FFA">
        <w:rPr>
          <w:lang w:eastAsia="fr-FR" w:bidi="fr-FR"/>
        </w:rPr>
        <w:t>e</w:t>
      </w:r>
      <w:r w:rsidRPr="00DB6FFA">
        <w:rPr>
          <w:lang w:eastAsia="fr-FR" w:bidi="fr-FR"/>
        </w:rPr>
        <w:t>mière Guerre mondiale, mettait l’accent sur les droits économiques et sociaux, s’est répandue au Sud avec la décolonisation, du moins pour ce qui est des objectifs à atteindre, tandis qu’elle est totalement ignorée par la Charte canadie</w:t>
      </w:r>
      <w:r w:rsidRPr="00DB6FFA">
        <w:rPr>
          <w:lang w:eastAsia="fr-FR" w:bidi="fr-FR"/>
        </w:rPr>
        <w:t>n</w:t>
      </w:r>
      <w:r w:rsidRPr="00DB6FFA">
        <w:rPr>
          <w:lang w:eastAsia="fr-FR" w:bidi="fr-FR"/>
        </w:rPr>
        <w:t>ne et que la Charte québécoise ne fait qu’effleurer le sujet. Comment e</w:t>
      </w:r>
      <w:r w:rsidRPr="00DB6FFA">
        <w:rPr>
          <w:lang w:eastAsia="fr-FR" w:bidi="fr-FR"/>
        </w:rPr>
        <w:t>x</w:t>
      </w:r>
      <w:r w:rsidRPr="00DB6FFA">
        <w:rPr>
          <w:lang w:eastAsia="fr-FR" w:bidi="fr-FR"/>
        </w:rPr>
        <w:t>pliquer pareille lacune, si ce n’est en revenant au contexte de l’Amérique du Nord</w:t>
      </w:r>
      <w:r>
        <w:rPr>
          <w:lang w:eastAsia="fr-FR" w:bidi="fr-FR"/>
        </w:rPr>
        <w:t> ?</w:t>
      </w:r>
    </w:p>
    <w:p w14:paraId="13F845A0" w14:textId="77777777" w:rsidR="00D01ED8" w:rsidRDefault="00D01ED8" w:rsidP="00D01ED8">
      <w:pPr>
        <w:spacing w:before="120" w:after="120"/>
        <w:jc w:val="both"/>
      </w:pPr>
      <w:r w:rsidRPr="00DB6FFA">
        <w:rPr>
          <w:lang w:eastAsia="fr-FR" w:bidi="fr-FR"/>
        </w:rPr>
        <w:t>Si nous nous tournons maintenant vers l’avenir de nos institutions dans le domaine des droits de la personne, les tâches à accomplir p</w:t>
      </w:r>
      <w:r w:rsidRPr="00DB6FFA">
        <w:rPr>
          <w:lang w:eastAsia="fr-FR" w:bidi="fr-FR"/>
        </w:rPr>
        <w:t>a</w:t>
      </w:r>
      <w:r w:rsidRPr="00DB6FFA">
        <w:rPr>
          <w:lang w:eastAsia="fr-FR" w:bidi="fr-FR"/>
        </w:rPr>
        <w:t xml:space="preserve">raissent toutes désignées. Dans la mesure où le critère constitutionnel de la </w:t>
      </w:r>
      <w:r>
        <w:rPr>
          <w:lang w:eastAsia="fr-FR" w:bidi="fr-FR"/>
        </w:rPr>
        <w:t>« </w:t>
      </w:r>
      <w:r w:rsidRPr="00DB6FFA">
        <w:rPr>
          <w:lang w:eastAsia="fr-FR" w:bidi="fr-FR"/>
        </w:rPr>
        <w:t>société distin</w:t>
      </w:r>
      <w:r w:rsidRPr="00DB6FFA">
        <w:rPr>
          <w:lang w:eastAsia="fr-FR" w:bidi="fr-FR"/>
        </w:rPr>
        <w:t>c</w:t>
      </w:r>
      <w:r w:rsidRPr="00DB6FFA">
        <w:rPr>
          <w:lang w:eastAsia="fr-FR" w:bidi="fr-FR"/>
        </w:rPr>
        <w:t>te</w:t>
      </w:r>
      <w:r>
        <w:rPr>
          <w:lang w:eastAsia="fr-FR" w:bidi="fr-FR"/>
        </w:rPr>
        <w:t> »</w:t>
      </w:r>
      <w:r w:rsidRPr="00DB6FFA">
        <w:rPr>
          <w:lang w:eastAsia="fr-FR" w:bidi="fr-FR"/>
        </w:rPr>
        <w:t xml:space="preserve"> a une véritable signification, seule la Charte québécoise devrait s’appliquer aux lois et règlements portant sur des objets qui relèvent de la compétence l</w:t>
      </w:r>
      <w:r w:rsidRPr="00DB6FFA">
        <w:rPr>
          <w:lang w:eastAsia="fr-FR" w:bidi="fr-FR"/>
        </w:rPr>
        <w:t>é</w:t>
      </w:r>
      <w:r w:rsidRPr="00DB6FFA">
        <w:rPr>
          <w:lang w:eastAsia="fr-FR" w:bidi="fr-FR"/>
        </w:rPr>
        <w:t>gislative du Québec. En deuxième lieu, il conviendrait de mieux définir les bornes du pouvoir de dérogation juridiquement illimité des Parlements. Enfin, il serait souhaitable de faire entrer dans la Constitution les droits économiques et sociaux, au moins sous forme d’objectifs de soci</w:t>
      </w:r>
      <w:r w:rsidRPr="00DB6FFA">
        <w:rPr>
          <w:lang w:eastAsia="fr-FR" w:bidi="fr-FR"/>
        </w:rPr>
        <w:t>é</w:t>
      </w:r>
      <w:r w:rsidRPr="00DB6FFA">
        <w:rPr>
          <w:lang w:eastAsia="fr-FR" w:bidi="fr-FR"/>
        </w:rPr>
        <w:t>té et d’obligations de comportement de la part des gouvernements. Cepe</w:t>
      </w:r>
      <w:r w:rsidRPr="00DB6FFA">
        <w:rPr>
          <w:lang w:eastAsia="fr-FR" w:bidi="fr-FR"/>
        </w:rPr>
        <w:t>n</w:t>
      </w:r>
      <w:r w:rsidRPr="00DB6FFA">
        <w:rPr>
          <w:lang w:eastAsia="fr-FR" w:bidi="fr-FR"/>
        </w:rPr>
        <w:t>dant, ces tâches - la de</w:t>
      </w:r>
      <w:r w:rsidRPr="00DB6FFA">
        <w:rPr>
          <w:lang w:eastAsia="fr-FR" w:bidi="fr-FR"/>
        </w:rPr>
        <w:t>r</w:t>
      </w:r>
      <w:r w:rsidRPr="00DB6FFA">
        <w:rPr>
          <w:lang w:eastAsia="fr-FR" w:bidi="fr-FR"/>
        </w:rPr>
        <w:t>nière en particulier - se heurteront au néo-li</w:t>
      </w:r>
      <w:r>
        <w:rPr>
          <w:lang w:eastAsia="fr-FR" w:bidi="fr-FR"/>
        </w:rPr>
        <w:t>béralisme, surtout si le libre-</w:t>
      </w:r>
      <w:r w:rsidRPr="00DB6FFA">
        <w:rPr>
          <w:lang w:eastAsia="fr-FR" w:bidi="fr-FR"/>
        </w:rPr>
        <w:t>échange canado-américain devient une réalité. Voilà une a</w:t>
      </w:r>
      <w:r w:rsidRPr="00DB6FFA">
        <w:rPr>
          <w:lang w:eastAsia="fr-FR" w:bidi="fr-FR"/>
        </w:rPr>
        <w:t>u</w:t>
      </w:r>
      <w:r w:rsidRPr="00DB6FFA">
        <w:rPr>
          <w:lang w:eastAsia="fr-FR" w:bidi="fr-FR"/>
        </w:rPr>
        <w:t>tre incertitude qui plane sur nos institutions, et particulièr</w:t>
      </w:r>
      <w:r w:rsidRPr="00DB6FFA">
        <w:rPr>
          <w:lang w:eastAsia="fr-FR" w:bidi="fr-FR"/>
        </w:rPr>
        <w:t>e</w:t>
      </w:r>
      <w:r w:rsidRPr="00DB6FFA">
        <w:rPr>
          <w:lang w:eastAsia="fr-FR" w:bidi="fr-FR"/>
        </w:rPr>
        <w:t>ment sur le rôle socio-économique de l’État en tant que garant de la justice soci</w:t>
      </w:r>
      <w:r w:rsidRPr="00DB6FFA">
        <w:rPr>
          <w:lang w:eastAsia="fr-FR" w:bidi="fr-FR"/>
        </w:rPr>
        <w:t>a</w:t>
      </w:r>
      <w:r w:rsidRPr="00DB6FFA">
        <w:rPr>
          <w:lang w:eastAsia="fr-FR" w:bidi="fr-FR"/>
        </w:rPr>
        <w:t>le. Certes, ce n’est ni le moment ni le lieu de trancher la question du libre-échange</w:t>
      </w:r>
      <w:r>
        <w:rPr>
          <w:lang w:eastAsia="fr-FR" w:bidi="fr-FR"/>
        </w:rPr>
        <w:t> :</w:t>
      </w:r>
      <w:r w:rsidRPr="00DB6FFA">
        <w:rPr>
          <w:lang w:eastAsia="fr-FR" w:bidi="fr-FR"/>
        </w:rPr>
        <w:t xml:space="preserve"> il se peut qu’il soit inévitable en raison du protectio</w:t>
      </w:r>
      <w:r w:rsidRPr="00DB6FFA">
        <w:rPr>
          <w:lang w:eastAsia="fr-FR" w:bidi="fr-FR"/>
        </w:rPr>
        <w:t>n</w:t>
      </w:r>
      <w:r w:rsidRPr="00DB6FFA">
        <w:rPr>
          <w:lang w:eastAsia="fr-FR" w:bidi="fr-FR"/>
        </w:rPr>
        <w:t>nisme pratiqué par le Congrès américain, mais mesure-t-on à quel point il pourrait modifier le type de société que nous avons élaboré depuis un quart de si</w:t>
      </w:r>
      <w:r w:rsidRPr="00DB6FFA">
        <w:rPr>
          <w:lang w:eastAsia="fr-FR" w:bidi="fr-FR"/>
        </w:rPr>
        <w:t>è</w:t>
      </w:r>
      <w:r w:rsidRPr="00DB6FFA">
        <w:rPr>
          <w:lang w:eastAsia="fr-FR" w:bidi="fr-FR"/>
        </w:rPr>
        <w:t>cle</w:t>
      </w:r>
      <w:r>
        <w:rPr>
          <w:lang w:eastAsia="fr-FR" w:bidi="fr-FR"/>
        </w:rPr>
        <w:t> ?</w:t>
      </w:r>
    </w:p>
    <w:p w14:paraId="3693C4AC" w14:textId="77777777" w:rsidR="00D01ED8" w:rsidRDefault="00D01ED8" w:rsidP="00D01ED8">
      <w:pPr>
        <w:spacing w:before="120" w:after="120"/>
        <w:jc w:val="both"/>
      </w:pPr>
      <w:r>
        <w:t>[213]</w:t>
      </w:r>
    </w:p>
    <w:p w14:paraId="5DECC124" w14:textId="77777777" w:rsidR="00D01ED8" w:rsidRDefault="00D01ED8" w:rsidP="00D01ED8">
      <w:pPr>
        <w:spacing w:before="120" w:after="120"/>
        <w:jc w:val="both"/>
      </w:pPr>
    </w:p>
    <w:p w14:paraId="5EBA66EE" w14:textId="77777777" w:rsidR="00D01ED8" w:rsidRPr="00DB6FFA" w:rsidRDefault="00D01ED8" w:rsidP="00D01ED8">
      <w:pPr>
        <w:pStyle w:val="a"/>
      </w:pPr>
      <w:r w:rsidRPr="00DB6FFA">
        <w:t>CONCLUSION</w:t>
      </w:r>
    </w:p>
    <w:p w14:paraId="300BA509" w14:textId="77777777" w:rsidR="00D01ED8" w:rsidRDefault="00D01ED8" w:rsidP="00D01ED8">
      <w:pPr>
        <w:spacing w:before="120" w:after="120"/>
        <w:jc w:val="both"/>
        <w:rPr>
          <w:lang w:eastAsia="fr-FR" w:bidi="fr-FR"/>
        </w:rPr>
      </w:pPr>
    </w:p>
    <w:p w14:paraId="49C70550" w14:textId="77777777" w:rsidR="00D01ED8" w:rsidRPr="00DB6FFA" w:rsidRDefault="00D01ED8" w:rsidP="00D01ED8">
      <w:pPr>
        <w:spacing w:before="120" w:after="120"/>
        <w:jc w:val="both"/>
      </w:pPr>
      <w:r w:rsidRPr="00DB6FFA">
        <w:rPr>
          <w:lang w:eastAsia="fr-FR" w:bidi="fr-FR"/>
        </w:rPr>
        <w:t>Peut-on maintenant faire le lien entre les deux données majeures que nous avons déterminées dans l’évolution du droit public depuis un demi-siècle et prévoir l’avenir de nos institutions</w:t>
      </w:r>
      <w:r>
        <w:rPr>
          <w:lang w:eastAsia="fr-FR" w:bidi="fr-FR"/>
        </w:rPr>
        <w:t> ?</w:t>
      </w:r>
      <w:r w:rsidRPr="00DB6FFA">
        <w:rPr>
          <w:lang w:eastAsia="fr-FR" w:bidi="fr-FR"/>
        </w:rPr>
        <w:t xml:space="preserve"> Les phénomènes économiques, sociaux et culturels qui ont favorisé la croissance de l’État et raffermiss</w:t>
      </w:r>
      <w:r w:rsidRPr="00DB6FFA">
        <w:rPr>
          <w:lang w:eastAsia="fr-FR" w:bidi="fr-FR"/>
        </w:rPr>
        <w:t>e</w:t>
      </w:r>
      <w:r w:rsidRPr="00DB6FFA">
        <w:rPr>
          <w:lang w:eastAsia="fr-FR" w:bidi="fr-FR"/>
        </w:rPr>
        <w:t>ment des droits individuels sont, à bien y penser, liés entre eux, sinon les mêmes</w:t>
      </w:r>
      <w:r>
        <w:rPr>
          <w:lang w:eastAsia="fr-FR" w:bidi="fr-FR"/>
        </w:rPr>
        <w:t> :</w:t>
      </w:r>
      <w:r w:rsidRPr="00DB6FFA">
        <w:rPr>
          <w:lang w:eastAsia="fr-FR" w:bidi="fr-FR"/>
        </w:rPr>
        <w:t xml:space="preserve"> industrialisation, urbanisation, inte</w:t>
      </w:r>
      <w:r w:rsidRPr="00DB6FFA">
        <w:rPr>
          <w:lang w:eastAsia="fr-FR" w:bidi="fr-FR"/>
        </w:rPr>
        <w:t>r</w:t>
      </w:r>
      <w:r w:rsidRPr="00DB6FFA">
        <w:rPr>
          <w:lang w:eastAsia="fr-FR" w:bidi="fr-FR"/>
        </w:rPr>
        <w:t>nationalisation de l’économie, concentration du po</w:t>
      </w:r>
      <w:r w:rsidRPr="00DB6FFA">
        <w:rPr>
          <w:lang w:eastAsia="fr-FR" w:bidi="fr-FR"/>
        </w:rPr>
        <w:t>u</w:t>
      </w:r>
      <w:r w:rsidRPr="00DB6FFA">
        <w:rPr>
          <w:lang w:eastAsia="fr-FR" w:bidi="fr-FR"/>
        </w:rPr>
        <w:t>voir, nord-américanisation de la culture. Dans la foulée de cette évolution de plus en plus rapide, même la frontière entre le collectif et l’individuel d</w:t>
      </w:r>
      <w:r w:rsidRPr="00DB6FFA">
        <w:rPr>
          <w:lang w:eastAsia="fr-FR" w:bidi="fr-FR"/>
        </w:rPr>
        <w:t>e</w:t>
      </w:r>
      <w:r w:rsidRPr="00DB6FFA">
        <w:rPr>
          <w:lang w:eastAsia="fr-FR" w:bidi="fr-FR"/>
        </w:rPr>
        <w:t>vient floue</w:t>
      </w:r>
      <w:r>
        <w:rPr>
          <w:lang w:eastAsia="fr-FR" w:bidi="fr-FR"/>
        </w:rPr>
        <w:t> ;</w:t>
      </w:r>
      <w:r w:rsidRPr="00DB6FFA">
        <w:rPr>
          <w:lang w:eastAsia="fr-FR" w:bidi="fr-FR"/>
        </w:rPr>
        <w:t xml:space="preserve"> il s’établit une interaction et, pour tout dire, une dialect</w:t>
      </w:r>
      <w:r w:rsidRPr="00DB6FFA">
        <w:rPr>
          <w:lang w:eastAsia="fr-FR" w:bidi="fr-FR"/>
        </w:rPr>
        <w:t>i</w:t>
      </w:r>
      <w:r w:rsidRPr="00DB6FFA">
        <w:rPr>
          <w:lang w:eastAsia="fr-FR" w:bidi="fr-FR"/>
        </w:rPr>
        <w:t>que, entre l’État et la personne. L’État-providence, qui doit vei</w:t>
      </w:r>
      <w:r w:rsidRPr="00DB6FFA">
        <w:rPr>
          <w:lang w:eastAsia="fr-FR" w:bidi="fr-FR"/>
        </w:rPr>
        <w:t>l</w:t>
      </w:r>
      <w:r w:rsidRPr="00DB6FFA">
        <w:rPr>
          <w:lang w:eastAsia="fr-FR" w:bidi="fr-FR"/>
        </w:rPr>
        <w:t>ler au bien-être de chacun, n’est-il pas, en définitive, autant l’aboutissement de revendications individu</w:t>
      </w:r>
      <w:r w:rsidRPr="00DB6FFA">
        <w:rPr>
          <w:lang w:eastAsia="fr-FR" w:bidi="fr-FR"/>
        </w:rPr>
        <w:t>a</w:t>
      </w:r>
      <w:r w:rsidRPr="00DB6FFA">
        <w:rPr>
          <w:lang w:eastAsia="fr-FR" w:bidi="fr-FR"/>
        </w:rPr>
        <w:t>listes que le fruit de la solidarité sociale</w:t>
      </w:r>
      <w:r>
        <w:rPr>
          <w:lang w:eastAsia="fr-FR" w:bidi="fr-FR"/>
        </w:rPr>
        <w:t> ?</w:t>
      </w:r>
    </w:p>
    <w:p w14:paraId="7323ACFE" w14:textId="77777777" w:rsidR="00D01ED8" w:rsidRPr="00DB6FFA" w:rsidRDefault="00D01ED8" w:rsidP="00D01ED8">
      <w:pPr>
        <w:spacing w:before="120" w:after="120"/>
        <w:jc w:val="both"/>
      </w:pPr>
      <w:r w:rsidRPr="00DB6FFA">
        <w:rPr>
          <w:lang w:eastAsia="fr-FR" w:bidi="fr-FR"/>
        </w:rPr>
        <w:t>De ce point de vue, l’État-providence ne fait que corriger les excès du laisser-faire et tend plus au maintien du libéralisme qu’à la prop</w:t>
      </w:r>
      <w:r w:rsidRPr="00DB6FFA">
        <w:rPr>
          <w:lang w:eastAsia="fr-FR" w:bidi="fr-FR"/>
        </w:rPr>
        <w:t>a</w:t>
      </w:r>
      <w:r w:rsidRPr="00DB6FFA">
        <w:rPr>
          <w:lang w:eastAsia="fr-FR" w:bidi="fr-FR"/>
        </w:rPr>
        <w:t>gation du soci</w:t>
      </w:r>
      <w:r w:rsidRPr="00DB6FFA">
        <w:rPr>
          <w:lang w:eastAsia="fr-FR" w:bidi="fr-FR"/>
        </w:rPr>
        <w:t>a</w:t>
      </w:r>
      <w:r w:rsidRPr="00DB6FFA">
        <w:rPr>
          <w:lang w:eastAsia="fr-FR" w:bidi="fr-FR"/>
        </w:rPr>
        <w:t>lisme ou de la social-démocratie. Ainsi s’explique l’absence totale des droits économiques et sociaux dans la Charte c</w:t>
      </w:r>
      <w:r w:rsidRPr="00DB6FFA">
        <w:rPr>
          <w:lang w:eastAsia="fr-FR" w:bidi="fr-FR"/>
        </w:rPr>
        <w:t>a</w:t>
      </w:r>
      <w:r w:rsidRPr="00DB6FFA">
        <w:rPr>
          <w:lang w:eastAsia="fr-FR" w:bidi="fr-FR"/>
        </w:rPr>
        <w:t>nadienne, lacune qui impose des l</w:t>
      </w:r>
      <w:r w:rsidRPr="00DB6FFA">
        <w:rPr>
          <w:lang w:eastAsia="fr-FR" w:bidi="fr-FR"/>
        </w:rPr>
        <w:t>i</w:t>
      </w:r>
      <w:r w:rsidRPr="00DB6FFA">
        <w:rPr>
          <w:lang w:eastAsia="fr-FR" w:bidi="fr-FR"/>
        </w:rPr>
        <w:t>mites à la construction d’un État qui voudrait favoriser l’égalité en même temps que la liberté. Le rappr</w:t>
      </w:r>
      <w:r w:rsidRPr="00DB6FFA">
        <w:rPr>
          <w:lang w:eastAsia="fr-FR" w:bidi="fr-FR"/>
        </w:rPr>
        <w:t>o</w:t>
      </w:r>
      <w:r w:rsidRPr="00DB6FFA">
        <w:rPr>
          <w:lang w:eastAsia="fr-FR" w:bidi="fr-FR"/>
        </w:rPr>
        <w:t>chement socio-économique et culturel avec les États-Unis, que le l</w:t>
      </w:r>
      <w:r w:rsidRPr="00DB6FFA">
        <w:rPr>
          <w:lang w:eastAsia="fr-FR" w:bidi="fr-FR"/>
        </w:rPr>
        <w:t>i</w:t>
      </w:r>
      <w:r w:rsidRPr="00DB6FFA">
        <w:rPr>
          <w:lang w:eastAsia="fr-FR" w:bidi="fr-FR"/>
        </w:rPr>
        <w:t>bre-échange ne peut manquer d’entraîner, pe</w:t>
      </w:r>
      <w:r w:rsidRPr="00DB6FFA">
        <w:rPr>
          <w:lang w:eastAsia="fr-FR" w:bidi="fr-FR"/>
        </w:rPr>
        <w:t>r</w:t>
      </w:r>
      <w:r w:rsidRPr="00DB6FFA">
        <w:rPr>
          <w:lang w:eastAsia="fr-FR" w:bidi="fr-FR"/>
        </w:rPr>
        <w:t>mettra-t-il de modifier cette orientation</w:t>
      </w:r>
      <w:r>
        <w:rPr>
          <w:lang w:eastAsia="fr-FR" w:bidi="fr-FR"/>
        </w:rPr>
        <w:t> ?</w:t>
      </w:r>
      <w:r w:rsidRPr="00DB6FFA">
        <w:rPr>
          <w:lang w:eastAsia="fr-FR" w:bidi="fr-FR"/>
        </w:rPr>
        <w:t xml:space="preserve"> Pourra-t-on seulement empêcher que la démarche néo-libérale de déréglementation et de privatisation, qui piétine depuis que</w:t>
      </w:r>
      <w:r w:rsidRPr="00DB6FFA">
        <w:rPr>
          <w:lang w:eastAsia="fr-FR" w:bidi="fr-FR"/>
        </w:rPr>
        <w:t>l</w:t>
      </w:r>
      <w:r w:rsidRPr="00DB6FFA">
        <w:rPr>
          <w:lang w:eastAsia="fr-FR" w:bidi="fr-FR"/>
        </w:rPr>
        <w:t>que temps, reprenne de plus belle si le prochain président des États-Unis reste fidèle à l’idéologie reaganienne</w:t>
      </w:r>
      <w:r>
        <w:rPr>
          <w:lang w:eastAsia="fr-FR" w:bidi="fr-FR"/>
        </w:rPr>
        <w:t> ?</w:t>
      </w:r>
      <w:r w:rsidRPr="00DB6FFA">
        <w:rPr>
          <w:lang w:eastAsia="fr-FR" w:bidi="fr-FR"/>
        </w:rPr>
        <w:t xml:space="preserve"> L’État-business</w:t>
      </w:r>
      <w:r>
        <w:rPr>
          <w:lang w:eastAsia="fr-FR" w:bidi="fr-FR"/>
        </w:rPr>
        <w:t xml:space="preserve"> se substituant alors à l’État-</w:t>
      </w:r>
      <w:r w:rsidRPr="00DB6FFA">
        <w:rPr>
          <w:lang w:eastAsia="fr-FR" w:bidi="fr-FR"/>
        </w:rPr>
        <w:t>providence, on assisterait à des tentatives de diluer certains acquis des deux phases de la Révolution tranquille, comme les soins médicaux gratuits ou la protection du territoire agr</w:t>
      </w:r>
      <w:r w:rsidRPr="00DB6FFA">
        <w:rPr>
          <w:lang w:eastAsia="fr-FR" w:bidi="fr-FR"/>
        </w:rPr>
        <w:t>i</w:t>
      </w:r>
      <w:r w:rsidRPr="00DB6FFA">
        <w:rPr>
          <w:lang w:eastAsia="fr-FR" w:bidi="fr-FR"/>
        </w:rPr>
        <w:t>cole.</w:t>
      </w:r>
    </w:p>
    <w:p w14:paraId="3AB091CC" w14:textId="77777777" w:rsidR="00D01ED8" w:rsidRPr="00DB6FFA" w:rsidRDefault="00D01ED8" w:rsidP="00D01ED8">
      <w:pPr>
        <w:spacing w:before="120" w:after="120"/>
        <w:jc w:val="both"/>
      </w:pPr>
      <w:r w:rsidRPr="00DB6FFA">
        <w:rPr>
          <w:lang w:eastAsia="fr-FR" w:bidi="fr-FR"/>
        </w:rPr>
        <w:t>Or, au même moment survient l’Accord constitutionnel de juin 1987, dont l’effet est de mettre fin, à mots couverts certes, mais non moins effect</w:t>
      </w:r>
      <w:r w:rsidRPr="00DB6FFA">
        <w:rPr>
          <w:lang w:eastAsia="fr-FR" w:bidi="fr-FR"/>
        </w:rPr>
        <w:t>i</w:t>
      </w:r>
      <w:r w:rsidRPr="00DB6FFA">
        <w:rPr>
          <w:lang w:eastAsia="fr-FR" w:bidi="fr-FR"/>
        </w:rPr>
        <w:t>vement, à toute volonté du Québec d’élargir sa sphère de compétence socio-économique. S’il peut exercer son droit de retrait dans le cas d’un transfert de compétence au Parlement fédéral par les provinces anglophones, il ne pourra guère empêcher celles-ci d’évoluer dans cette direction, qui correspondrait d’ailleurs au ph</w:t>
      </w:r>
      <w:r w:rsidRPr="00DB6FFA">
        <w:rPr>
          <w:lang w:eastAsia="fr-FR" w:bidi="fr-FR"/>
        </w:rPr>
        <w:t>é</w:t>
      </w:r>
      <w:r w:rsidRPr="00DB6FFA">
        <w:rPr>
          <w:lang w:eastAsia="fr-FR" w:bidi="fr-FR"/>
        </w:rPr>
        <w:t>nomène fréquemment observé de la centralisation des pouvoirs pr</w:t>
      </w:r>
      <w:r w:rsidRPr="00DB6FFA">
        <w:rPr>
          <w:lang w:eastAsia="fr-FR" w:bidi="fr-FR"/>
        </w:rPr>
        <w:t>o</w:t>
      </w:r>
      <w:r w:rsidRPr="00DB6FFA">
        <w:rPr>
          <w:lang w:eastAsia="fr-FR" w:bidi="fr-FR"/>
        </w:rPr>
        <w:t>voquée par l’internationalisation des</w:t>
      </w:r>
      <w:r>
        <w:t xml:space="preserve"> [214] </w:t>
      </w:r>
      <w:r w:rsidRPr="00DB6FFA">
        <w:rPr>
          <w:lang w:eastAsia="fr-FR" w:bidi="fr-FR"/>
        </w:rPr>
        <w:t xml:space="preserve">économies nationales. De toute manière, l’Accord du lac Meech reconnaît au Parlement fédéral le pouvoir d’établir des </w:t>
      </w:r>
      <w:r>
        <w:rPr>
          <w:lang w:eastAsia="fr-FR" w:bidi="fr-FR"/>
        </w:rPr>
        <w:t>« </w:t>
      </w:r>
      <w:r w:rsidRPr="00DB6FFA">
        <w:rPr>
          <w:lang w:eastAsia="fr-FR" w:bidi="fr-FR"/>
        </w:rPr>
        <w:t>objectifs n</w:t>
      </w:r>
      <w:r w:rsidRPr="00DB6FFA">
        <w:rPr>
          <w:lang w:eastAsia="fr-FR" w:bidi="fr-FR"/>
        </w:rPr>
        <w:t>a</w:t>
      </w:r>
      <w:r w:rsidRPr="00DB6FFA">
        <w:rPr>
          <w:lang w:eastAsia="fr-FR" w:bidi="fr-FR"/>
        </w:rPr>
        <w:t>tionaux</w:t>
      </w:r>
      <w:r>
        <w:rPr>
          <w:lang w:eastAsia="fr-FR" w:bidi="fr-FR"/>
        </w:rPr>
        <w:t> »</w:t>
      </w:r>
      <w:r w:rsidRPr="00DB6FFA">
        <w:rPr>
          <w:lang w:eastAsia="fr-FR" w:bidi="fr-FR"/>
        </w:rPr>
        <w:t xml:space="preserve"> dans les secteurs </w:t>
      </w:r>
      <w:r>
        <w:rPr>
          <w:lang w:eastAsia="fr-FR" w:bidi="fr-FR"/>
        </w:rPr>
        <w:t>« </w:t>
      </w:r>
      <w:r w:rsidRPr="00DB6FFA">
        <w:rPr>
          <w:lang w:eastAsia="fr-FR" w:bidi="fr-FR"/>
        </w:rPr>
        <w:t>de compétence exclusive provinciale</w:t>
      </w:r>
      <w:r>
        <w:rPr>
          <w:lang w:eastAsia="fr-FR" w:bidi="fr-FR"/>
        </w:rPr>
        <w:t> »</w:t>
      </w:r>
      <w:r w:rsidRPr="00DB6FFA">
        <w:rPr>
          <w:lang w:eastAsia="fr-FR" w:bidi="fr-FR"/>
        </w:rPr>
        <w:t>, de sorte que, en définitive, le Québec ne pourra échapper à la détermination de plus en plus centr</w:t>
      </w:r>
      <w:r w:rsidRPr="00DB6FFA">
        <w:rPr>
          <w:lang w:eastAsia="fr-FR" w:bidi="fr-FR"/>
        </w:rPr>
        <w:t>a</w:t>
      </w:r>
      <w:r w:rsidRPr="00DB6FFA">
        <w:rPr>
          <w:lang w:eastAsia="fr-FR" w:bidi="fr-FR"/>
        </w:rPr>
        <w:t>lisée des priorités socioéconomiques, l</w:t>
      </w:r>
      <w:r w:rsidRPr="00DB6FFA">
        <w:rPr>
          <w:lang w:eastAsia="fr-FR" w:bidi="fr-FR"/>
        </w:rPr>
        <w:t>a</w:t>
      </w:r>
      <w:r w:rsidRPr="00DB6FFA">
        <w:rPr>
          <w:lang w:eastAsia="fr-FR" w:bidi="fr-FR"/>
        </w:rPr>
        <w:t>quelle, à son tour, ne pourra qu’être ass</w:t>
      </w:r>
      <w:r w:rsidRPr="00DB6FFA">
        <w:rPr>
          <w:lang w:eastAsia="fr-FR" w:bidi="fr-FR"/>
        </w:rPr>
        <w:t>u</w:t>
      </w:r>
      <w:r w:rsidRPr="00DB6FFA">
        <w:rPr>
          <w:lang w:eastAsia="fr-FR" w:bidi="fr-FR"/>
        </w:rPr>
        <w:t>jettie aux objectifs libre-échangistes.</w:t>
      </w:r>
    </w:p>
    <w:p w14:paraId="22D60CF6" w14:textId="77777777" w:rsidR="00D01ED8" w:rsidRPr="00DB6FFA" w:rsidRDefault="00D01ED8" w:rsidP="00D01ED8">
      <w:pPr>
        <w:spacing w:before="120" w:after="120"/>
        <w:jc w:val="both"/>
      </w:pPr>
      <w:r w:rsidRPr="00DB6FFA">
        <w:rPr>
          <w:lang w:eastAsia="fr-FR" w:bidi="fr-FR"/>
        </w:rPr>
        <w:t>Il se peut, bien sûr, que soient prises des décisions qui correspo</w:t>
      </w:r>
      <w:r w:rsidRPr="00DB6FFA">
        <w:rPr>
          <w:lang w:eastAsia="fr-FR" w:bidi="fr-FR"/>
        </w:rPr>
        <w:t>n</w:t>
      </w:r>
      <w:r w:rsidRPr="00DB6FFA">
        <w:rPr>
          <w:lang w:eastAsia="fr-FR" w:bidi="fr-FR"/>
        </w:rPr>
        <w:t>dent aux priorités du Québec, mais il se peut également, compte tenu de la contine</w:t>
      </w:r>
      <w:r w:rsidRPr="00DB6FFA">
        <w:rPr>
          <w:lang w:eastAsia="fr-FR" w:bidi="fr-FR"/>
        </w:rPr>
        <w:t>n</w:t>
      </w:r>
      <w:r w:rsidRPr="00DB6FFA">
        <w:rPr>
          <w:lang w:eastAsia="fr-FR" w:bidi="fr-FR"/>
        </w:rPr>
        <w:t>talisation de l’économie et de la culture, que tel ne soit pas le cas, nota</w:t>
      </w:r>
      <w:r w:rsidRPr="00DB6FFA">
        <w:rPr>
          <w:lang w:eastAsia="fr-FR" w:bidi="fr-FR"/>
        </w:rPr>
        <w:t>m</w:t>
      </w:r>
      <w:r w:rsidRPr="00DB6FFA">
        <w:rPr>
          <w:lang w:eastAsia="fr-FR" w:bidi="fr-FR"/>
        </w:rPr>
        <w:t>ment en matière de droits économiques, sociaux et culturels. La conjugaison de l’Accord constitutionnel de 1987 et du libre-échange ne pourrait alors aboutir qu’à l’affaiblissement graduel de notre État autonome inachevé, au moment même où il aurait le plus grand besoin d’être renforcé pour faire face aux défis du continent et du monde.</w:t>
      </w:r>
    </w:p>
    <w:p w14:paraId="08BC08A5" w14:textId="77777777" w:rsidR="00D01ED8" w:rsidRPr="00DB6FFA" w:rsidRDefault="00D01ED8" w:rsidP="00D01ED8">
      <w:pPr>
        <w:spacing w:before="120" w:after="120"/>
        <w:jc w:val="both"/>
      </w:pPr>
      <w:r w:rsidRPr="00DB6FFA">
        <w:rPr>
          <w:lang w:eastAsia="fr-FR" w:bidi="fr-FR"/>
        </w:rPr>
        <w:t>Certes, en ce mois d’octo</w:t>
      </w:r>
      <w:r>
        <w:rPr>
          <w:lang w:eastAsia="fr-FR" w:bidi="fr-FR"/>
        </w:rPr>
        <w:t>bre 1988, ni l’Accord de libre-</w:t>
      </w:r>
      <w:r w:rsidRPr="00DB6FFA">
        <w:rPr>
          <w:lang w:eastAsia="fr-FR" w:bidi="fr-FR"/>
        </w:rPr>
        <w:t>échange ni l’Accord du lac Meech ne sont entrés en vigueur</w:t>
      </w:r>
      <w:r>
        <w:rPr>
          <w:lang w:eastAsia="fr-FR" w:bidi="fr-FR"/>
        </w:rPr>
        <w:t> :</w:t>
      </w:r>
      <w:r w:rsidRPr="00DB6FFA">
        <w:rPr>
          <w:lang w:eastAsia="fr-FR" w:bidi="fr-FR"/>
        </w:rPr>
        <w:t xml:space="preserve"> tout est suspendu en a</w:t>
      </w:r>
      <w:r w:rsidRPr="00DB6FFA">
        <w:rPr>
          <w:lang w:eastAsia="fr-FR" w:bidi="fr-FR"/>
        </w:rPr>
        <w:t>t</w:t>
      </w:r>
      <w:r w:rsidRPr="00DB6FFA">
        <w:rPr>
          <w:lang w:eastAsia="fr-FR" w:bidi="fr-FR"/>
        </w:rPr>
        <w:t>tendant le scrutin fédéral. Cependant, les tendances lourdes de notre évolution sociale, économique, démographique, culturelle et p</w:t>
      </w:r>
      <w:r w:rsidRPr="00DB6FFA">
        <w:rPr>
          <w:lang w:eastAsia="fr-FR" w:bidi="fr-FR"/>
        </w:rPr>
        <w:t>o</w:t>
      </w:r>
      <w:r w:rsidRPr="00DB6FFA">
        <w:rPr>
          <w:lang w:eastAsia="fr-FR" w:bidi="fr-FR"/>
        </w:rPr>
        <w:t>litique ne dispara</w:t>
      </w:r>
      <w:r w:rsidRPr="00DB6FFA">
        <w:rPr>
          <w:lang w:eastAsia="fr-FR" w:bidi="fr-FR"/>
        </w:rPr>
        <w:t>î</w:t>
      </w:r>
      <w:r w:rsidRPr="00DB6FFA">
        <w:rPr>
          <w:lang w:eastAsia="fr-FR" w:bidi="fr-FR"/>
        </w:rPr>
        <w:t>tront pas, quel qu’en soit le résultat. En définitive, la plus grande incertitude plane aujourd’hui sur l’avenir de nos instit</w:t>
      </w:r>
      <w:r w:rsidRPr="00DB6FFA">
        <w:rPr>
          <w:lang w:eastAsia="fr-FR" w:bidi="fr-FR"/>
        </w:rPr>
        <w:t>u</w:t>
      </w:r>
      <w:r w:rsidRPr="00DB6FFA">
        <w:rPr>
          <w:lang w:eastAsia="fr-FR" w:bidi="fr-FR"/>
        </w:rPr>
        <w:t>tions, particulièrement cette in</w:t>
      </w:r>
      <w:r w:rsidRPr="00DB6FFA">
        <w:rPr>
          <w:lang w:eastAsia="fr-FR" w:bidi="fr-FR"/>
        </w:rPr>
        <w:t>s</w:t>
      </w:r>
      <w:r w:rsidRPr="00DB6FFA">
        <w:rPr>
          <w:lang w:eastAsia="fr-FR" w:bidi="fr-FR"/>
        </w:rPr>
        <w:t>titution fondamentale qu’est l’État</w:t>
      </w:r>
      <w:r>
        <w:rPr>
          <w:lang w:eastAsia="fr-FR" w:bidi="fr-FR"/>
        </w:rPr>
        <w:t> ;</w:t>
      </w:r>
      <w:r w:rsidRPr="00DB6FFA">
        <w:rPr>
          <w:lang w:eastAsia="fr-FR" w:bidi="fr-FR"/>
        </w:rPr>
        <w:t xml:space="preserve"> quant à la personne, qui en est à la fois le sujet et la principale préo</w:t>
      </w:r>
      <w:r w:rsidRPr="00DB6FFA">
        <w:rPr>
          <w:lang w:eastAsia="fr-FR" w:bidi="fr-FR"/>
        </w:rPr>
        <w:t>c</w:t>
      </w:r>
      <w:r w:rsidRPr="00DB6FFA">
        <w:rPr>
          <w:lang w:eastAsia="fr-FR" w:bidi="fr-FR"/>
        </w:rPr>
        <w:t>cupation, on n’oserait pronostiquer ce qu’il a</w:t>
      </w:r>
      <w:r w:rsidRPr="00DB6FFA">
        <w:rPr>
          <w:lang w:eastAsia="fr-FR" w:bidi="fr-FR"/>
        </w:rPr>
        <w:t>d</w:t>
      </w:r>
      <w:r w:rsidRPr="00DB6FFA">
        <w:rPr>
          <w:lang w:eastAsia="fr-FR" w:bidi="fr-FR"/>
        </w:rPr>
        <w:t>viendra de ses droits économiques, sociaux et culturels</w:t>
      </w:r>
      <w:r>
        <w:rPr>
          <w:lang w:eastAsia="fr-FR" w:bidi="fr-FR"/>
        </w:rPr>
        <w:t> ;</w:t>
      </w:r>
      <w:r w:rsidRPr="00DB6FFA">
        <w:rPr>
          <w:lang w:eastAsia="fr-FR" w:bidi="fr-FR"/>
        </w:rPr>
        <w:t xml:space="preserve"> on peut cependant prévoir que les défenseurs de ces droits ne sont pas au bout de leurs peines.</w:t>
      </w:r>
    </w:p>
    <w:p w14:paraId="30A45C29" w14:textId="77777777" w:rsidR="00D01ED8" w:rsidRDefault="00D01ED8" w:rsidP="00D01ED8">
      <w:pPr>
        <w:spacing w:before="120" w:after="120"/>
        <w:jc w:val="both"/>
      </w:pPr>
      <w:r w:rsidRPr="00DB6FFA">
        <w:rPr>
          <w:lang w:eastAsia="fr-FR" w:bidi="fr-FR"/>
        </w:rPr>
        <w:t>Lorsque la Faculté des sciences sociales naquit, il y a cinquante ans, ce fut en réponse à une profonde crise matérielle</w:t>
      </w:r>
      <w:r>
        <w:rPr>
          <w:lang w:eastAsia="fr-FR" w:bidi="fr-FR"/>
        </w:rPr>
        <w:t> :</w:t>
      </w:r>
      <w:r w:rsidRPr="00DB6FFA">
        <w:rPr>
          <w:lang w:eastAsia="fr-FR" w:bidi="fr-FR"/>
        </w:rPr>
        <w:t xml:space="preserve"> professeurs et diplômés s</w:t>
      </w:r>
      <w:r w:rsidRPr="00DB6FFA">
        <w:rPr>
          <w:lang w:eastAsia="fr-FR" w:bidi="fr-FR"/>
        </w:rPr>
        <w:t>a</w:t>
      </w:r>
      <w:r w:rsidRPr="00DB6FFA">
        <w:rPr>
          <w:lang w:eastAsia="fr-FR" w:bidi="fr-FR"/>
        </w:rPr>
        <w:t xml:space="preserve">vaient ce qu’ils voulaient et ont contribué fortement à orienter l’État vers la justice sociale. Aujourd’hui, nous vivons plutôt, avec l’Amérique du Nord, si ce n’est avec l’Occident tout entier, une crise </w:t>
      </w:r>
      <w:r>
        <w:rPr>
          <w:lang w:eastAsia="fr-FR" w:bidi="fr-FR"/>
        </w:rPr>
        <w:t>des valeurs. Comment concevons-</w:t>
      </w:r>
      <w:r w:rsidRPr="00DB6FFA">
        <w:rPr>
          <w:lang w:eastAsia="fr-FR" w:bidi="fr-FR"/>
        </w:rPr>
        <w:t>nous le rôle de l’État dans ses rapports avec le citoyen individuel</w:t>
      </w:r>
      <w:r>
        <w:rPr>
          <w:lang w:eastAsia="fr-FR" w:bidi="fr-FR"/>
        </w:rPr>
        <w:t> ?</w:t>
      </w:r>
      <w:r w:rsidRPr="00DB6FFA">
        <w:rPr>
          <w:lang w:eastAsia="fr-FR" w:bidi="fr-FR"/>
        </w:rPr>
        <w:t xml:space="preserve"> Quelle notion les jeunes </w:t>
      </w:r>
      <w:r>
        <w:rPr>
          <w:lang w:eastAsia="fr-FR" w:bidi="fr-FR"/>
        </w:rPr>
        <w:t>—</w:t>
      </w:r>
      <w:r w:rsidRPr="00DB6FFA">
        <w:rPr>
          <w:lang w:eastAsia="fr-FR" w:bidi="fr-FR"/>
        </w:rPr>
        <w:t xml:space="preserve"> les étudiants en sciences sociales, par exemple </w:t>
      </w:r>
      <w:r>
        <w:rPr>
          <w:lang w:eastAsia="fr-FR" w:bidi="fr-FR"/>
        </w:rPr>
        <w:t>—</w:t>
      </w:r>
      <w:r w:rsidRPr="00DB6FFA">
        <w:rPr>
          <w:lang w:eastAsia="fr-FR" w:bidi="fr-FR"/>
        </w:rPr>
        <w:t xml:space="preserve"> se font-ils de leurs re</w:t>
      </w:r>
      <w:r w:rsidRPr="00DB6FFA">
        <w:rPr>
          <w:lang w:eastAsia="fr-FR" w:bidi="fr-FR"/>
        </w:rPr>
        <w:t>s</w:t>
      </w:r>
      <w:r w:rsidRPr="00DB6FFA">
        <w:rPr>
          <w:lang w:eastAsia="fr-FR" w:bidi="fr-FR"/>
        </w:rPr>
        <w:t>ponsabilités envers la collectivité, et n</w:t>
      </w:r>
      <w:r w:rsidRPr="00DB6FFA">
        <w:rPr>
          <w:lang w:eastAsia="fr-FR" w:bidi="fr-FR"/>
        </w:rPr>
        <w:t>o</w:t>
      </w:r>
      <w:r w:rsidRPr="00DB6FFA">
        <w:rPr>
          <w:lang w:eastAsia="fr-FR" w:bidi="fr-FR"/>
        </w:rPr>
        <w:t>tamment envers les personnes les plus défavorisées</w:t>
      </w:r>
      <w:r>
        <w:rPr>
          <w:lang w:eastAsia="fr-FR" w:bidi="fr-FR"/>
        </w:rPr>
        <w:t> ?</w:t>
      </w:r>
      <w:r w:rsidRPr="00DB6FFA">
        <w:rPr>
          <w:lang w:eastAsia="fr-FR" w:bidi="fr-FR"/>
        </w:rPr>
        <w:t xml:space="preserve"> Ce sont les réponses à ces questions qui déte</w:t>
      </w:r>
      <w:r w:rsidRPr="00DB6FFA">
        <w:rPr>
          <w:lang w:eastAsia="fr-FR" w:bidi="fr-FR"/>
        </w:rPr>
        <w:t>r</w:t>
      </w:r>
      <w:r w:rsidRPr="00DB6FFA">
        <w:rPr>
          <w:lang w:eastAsia="fr-FR" w:bidi="fr-FR"/>
        </w:rPr>
        <w:t>min</w:t>
      </w:r>
      <w:r w:rsidRPr="00DB6FFA">
        <w:rPr>
          <w:lang w:eastAsia="fr-FR" w:bidi="fr-FR"/>
        </w:rPr>
        <w:t>e</w:t>
      </w:r>
      <w:r w:rsidRPr="00DB6FFA">
        <w:rPr>
          <w:lang w:eastAsia="fr-FR" w:bidi="fr-FR"/>
        </w:rPr>
        <w:t>ront l’avenir de nos institutions et de notre droit public.</w:t>
      </w:r>
    </w:p>
    <w:p w14:paraId="2C706FE8" w14:textId="77777777" w:rsidR="00D01ED8" w:rsidRPr="00E07116" w:rsidRDefault="00D01ED8" w:rsidP="00D01ED8">
      <w:pPr>
        <w:pStyle w:val="p"/>
      </w:pPr>
    </w:p>
    <w:sectPr w:rsidR="00D01ED8" w:rsidRPr="00E07116" w:rsidSect="00D01ED8">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EE7A" w14:textId="77777777" w:rsidR="004C0DAF" w:rsidRDefault="004C0DAF">
      <w:r>
        <w:separator/>
      </w:r>
    </w:p>
  </w:endnote>
  <w:endnote w:type="continuationSeparator" w:id="0">
    <w:p w14:paraId="4FA16A93" w14:textId="77777777" w:rsidR="004C0DAF" w:rsidRDefault="004C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3D59" w14:textId="77777777" w:rsidR="004C0DAF" w:rsidRDefault="004C0DAF">
      <w:pPr>
        <w:ind w:firstLine="0"/>
      </w:pPr>
      <w:r>
        <w:separator/>
      </w:r>
    </w:p>
  </w:footnote>
  <w:footnote w:type="continuationSeparator" w:id="0">
    <w:p w14:paraId="1CE65A13" w14:textId="77777777" w:rsidR="004C0DAF" w:rsidRDefault="004C0DAF">
      <w:pPr>
        <w:ind w:firstLine="0"/>
      </w:pPr>
      <w:r>
        <w:separator/>
      </w:r>
    </w:p>
  </w:footnote>
  <w:footnote w:id="1">
    <w:p w14:paraId="4BB9B1C5" w14:textId="77777777" w:rsidR="00D01ED8" w:rsidRDefault="00D01ED8">
      <w:pPr>
        <w:pStyle w:val="Notedebasdepage"/>
      </w:pPr>
      <w:r>
        <w:rPr>
          <w:rStyle w:val="Appelnotedebasdep"/>
        </w:rPr>
        <w:footnoteRef/>
      </w:r>
      <w:r>
        <w:tab/>
        <w:t xml:space="preserve">« Introduction », dans G.-H. Lévesque, G. Rocher, J. Henripin et al., </w:t>
      </w:r>
      <w:hyperlink r:id="rId1" w:history="1">
        <w:r w:rsidRPr="00590C1D">
          <w:rPr>
            <w:rStyle w:val="Hyperlien"/>
            <w:i/>
          </w:rPr>
          <w:t>Continuité et rupture - Les Sciences sociales au Québec</w:t>
        </w:r>
      </w:hyperlink>
      <w:r>
        <w:t>, (1984), pp. 14-16.</w:t>
      </w:r>
    </w:p>
  </w:footnote>
  <w:footnote w:id="2">
    <w:p w14:paraId="2DE5ACB5" w14:textId="77777777" w:rsidR="00D01ED8" w:rsidRDefault="00D01ED8" w:rsidP="00D01ED8">
      <w:pPr>
        <w:pStyle w:val="Notedebasdepage"/>
      </w:pPr>
      <w:r>
        <w:rPr>
          <w:rStyle w:val="Appelnotedebasdep"/>
        </w:rPr>
        <w:footnoteRef/>
      </w:r>
      <w:r>
        <w:tab/>
        <w:t xml:space="preserve">Commission royale des relations entre le dominion et les provinces. </w:t>
      </w:r>
      <w:r w:rsidRPr="00590C1D">
        <w:rPr>
          <w:i/>
        </w:rPr>
        <w:t>Ra</w:t>
      </w:r>
      <w:r w:rsidRPr="00590C1D">
        <w:rPr>
          <w:i/>
        </w:rPr>
        <w:t>p</w:t>
      </w:r>
      <w:r w:rsidRPr="00590C1D">
        <w:rPr>
          <w:i/>
        </w:rPr>
        <w:t>port</w:t>
      </w:r>
      <w:r>
        <w:t>, (1940), vol. II, pp. 44, 50, 126.</w:t>
      </w:r>
    </w:p>
  </w:footnote>
  <w:footnote w:id="3">
    <w:p w14:paraId="5F1F62EF" w14:textId="77777777" w:rsidR="00D01ED8" w:rsidRDefault="00D01ED8" w:rsidP="00D01ED8">
      <w:pPr>
        <w:pStyle w:val="Notedebasdepage"/>
      </w:pPr>
      <w:r>
        <w:rPr>
          <w:rStyle w:val="Appelnotedebasdep"/>
        </w:rPr>
        <w:footnoteRef/>
      </w:r>
      <w:r>
        <w:tab/>
        <w:t>Commission royale d’enquête sur les problèmes constitutio</w:t>
      </w:r>
      <w:r>
        <w:t>n</w:t>
      </w:r>
      <w:r>
        <w:t xml:space="preserve">nels, </w:t>
      </w:r>
      <w:r w:rsidRPr="00590C1D">
        <w:rPr>
          <w:i/>
        </w:rPr>
        <w:t>Rapport</w:t>
      </w:r>
      <w:r>
        <w:t>, (1956), tome I, p. 18 et tome II, p. 85.</w:t>
      </w:r>
    </w:p>
  </w:footnote>
  <w:footnote w:id="4">
    <w:p w14:paraId="52235A18" w14:textId="77777777" w:rsidR="00D01ED8" w:rsidRDefault="00D01ED8" w:rsidP="00D01ED8">
      <w:pPr>
        <w:pStyle w:val="Notedebasdepage"/>
      </w:pPr>
      <w:r>
        <w:rPr>
          <w:rStyle w:val="Appelnotedebasdep"/>
        </w:rPr>
        <w:footnoteRef/>
      </w:r>
      <w:r>
        <w:tab/>
      </w:r>
      <w:r w:rsidRPr="00590C1D">
        <w:rPr>
          <w:i/>
        </w:rPr>
        <w:t>Le Fédéralisme canadien</w:t>
      </w:r>
      <w:r>
        <w:t>, (1954), Québec, Les Presses Unive</w:t>
      </w:r>
      <w:r>
        <w:t>r</w:t>
      </w:r>
      <w:r>
        <w:t>sitaires Laval, pp. 282, 293, 295.</w:t>
      </w:r>
    </w:p>
  </w:footnote>
  <w:footnote w:id="5">
    <w:p w14:paraId="31441A72" w14:textId="77777777" w:rsidR="00D01ED8" w:rsidRDefault="00D01ED8" w:rsidP="00D01ED8">
      <w:pPr>
        <w:pStyle w:val="Notedebasdepage"/>
      </w:pPr>
      <w:r>
        <w:rPr>
          <w:rStyle w:val="Appelnotedebasdep"/>
        </w:rPr>
        <w:footnoteRef/>
      </w:r>
      <w:r>
        <w:tab/>
      </w:r>
      <w:hyperlink r:id="rId2" w:history="1">
        <w:r w:rsidRPr="002773F8">
          <w:rPr>
            <w:rStyle w:val="Hyperlien"/>
            <w:i/>
          </w:rPr>
          <w:t>Les Québécois</w:t>
        </w:r>
      </w:hyperlink>
      <w:r>
        <w:t>, (1974), Paris, Seuil, p. 21.</w:t>
      </w:r>
    </w:p>
  </w:footnote>
  <w:footnote w:id="6">
    <w:p w14:paraId="1CB74515" w14:textId="77777777" w:rsidR="00D01ED8" w:rsidRDefault="00D01ED8">
      <w:pPr>
        <w:pStyle w:val="Notedebasdepage"/>
      </w:pPr>
      <w:r>
        <w:rPr>
          <w:rStyle w:val="Appelnotedebasdep"/>
        </w:rPr>
        <w:footnoteRef/>
      </w:r>
      <w:r>
        <w:tab/>
      </w:r>
      <w:r>
        <w:rPr>
          <w:lang w:eastAsia="fr-FR" w:bidi="fr-FR"/>
        </w:rPr>
        <w:t xml:space="preserve">Commission royale d’enquête sur le bilinguisme et le bi-culturalisme. </w:t>
      </w:r>
      <w:r w:rsidRPr="00115ED1">
        <w:rPr>
          <w:i/>
          <w:lang w:eastAsia="fr-FR" w:bidi="fr-FR"/>
        </w:rPr>
        <w:t>Ra</w:t>
      </w:r>
      <w:r w:rsidRPr="00115ED1">
        <w:rPr>
          <w:i/>
          <w:lang w:eastAsia="fr-FR" w:bidi="fr-FR"/>
        </w:rPr>
        <w:t>p</w:t>
      </w:r>
      <w:r w:rsidRPr="00115ED1">
        <w:rPr>
          <w:i/>
          <w:lang w:eastAsia="fr-FR" w:bidi="fr-FR"/>
        </w:rPr>
        <w:t>port</w:t>
      </w:r>
      <w:r>
        <w:rPr>
          <w:lang w:eastAsia="fr-FR" w:bidi="fr-FR"/>
        </w:rPr>
        <w:t>, (1967), pp. 99, 103, 110.</w:t>
      </w:r>
    </w:p>
  </w:footnote>
  <w:footnote w:id="7">
    <w:p w14:paraId="3DE1FCE9" w14:textId="77777777" w:rsidR="00D01ED8" w:rsidRDefault="00D01ED8" w:rsidP="00D01ED8">
      <w:pPr>
        <w:pStyle w:val="Notedebasdepage"/>
      </w:pPr>
      <w:r>
        <w:rPr>
          <w:rStyle w:val="Appelnotedebasdep"/>
        </w:rPr>
        <w:footnoteRef/>
      </w:r>
      <w:r>
        <w:tab/>
      </w:r>
      <w:r w:rsidRPr="00115ED1">
        <w:rPr>
          <w:i/>
          <w:lang w:eastAsia="fr-FR" w:bidi="fr-FR"/>
        </w:rPr>
        <w:t>Ibid</w:t>
      </w:r>
      <w:r>
        <w:rPr>
          <w:lang w:eastAsia="fr-FR" w:bidi="fr-FR"/>
        </w:rPr>
        <w:t>., p. 117.</w:t>
      </w:r>
    </w:p>
  </w:footnote>
  <w:footnote w:id="8">
    <w:p w14:paraId="21B05F06" w14:textId="77777777" w:rsidR="00D01ED8" w:rsidRDefault="00D01ED8" w:rsidP="00D01ED8">
      <w:pPr>
        <w:pStyle w:val="Notedebasdepage"/>
      </w:pPr>
      <w:r>
        <w:rPr>
          <w:rStyle w:val="Appelnotedebasdep"/>
        </w:rPr>
        <w:footnoteRef/>
      </w:r>
      <w:r>
        <w:tab/>
      </w:r>
      <w:r>
        <w:rPr>
          <w:lang w:eastAsia="fr-FR" w:bidi="fr-FR"/>
        </w:rPr>
        <w:t xml:space="preserve">Commission de l’unité canadienne. </w:t>
      </w:r>
      <w:r w:rsidRPr="00115ED1">
        <w:rPr>
          <w:i/>
          <w:lang w:eastAsia="fr-FR" w:bidi="fr-FR"/>
        </w:rPr>
        <w:t>Rapport</w:t>
      </w:r>
      <w:r>
        <w:rPr>
          <w:lang w:eastAsia="fr-FR" w:bidi="fr-FR"/>
        </w:rPr>
        <w:t>, (1979), pp. 90, 134.</w:t>
      </w:r>
    </w:p>
  </w:footnote>
  <w:footnote w:id="9">
    <w:p w14:paraId="063A1DA2" w14:textId="77777777" w:rsidR="00D01ED8" w:rsidRDefault="00D01ED8" w:rsidP="00D01ED8">
      <w:pPr>
        <w:pStyle w:val="Notedebasdepage"/>
      </w:pPr>
      <w:r>
        <w:rPr>
          <w:rStyle w:val="Appelnotedebasdep"/>
        </w:rPr>
        <w:footnoteRef/>
      </w:r>
      <w:r>
        <w:tab/>
        <w:t xml:space="preserve">Commission royale d’enquête sur l’union économique et les perspectives de développement du Canada, </w:t>
      </w:r>
      <w:r w:rsidRPr="00115ED1">
        <w:rPr>
          <w:i/>
        </w:rPr>
        <w:t>Rapport</w:t>
      </w:r>
      <w:r>
        <w:t>, (1985), vol. III, pp. 378 et suiv., pp. 463-465.</w:t>
      </w:r>
    </w:p>
  </w:footnote>
  <w:footnote w:id="10">
    <w:p w14:paraId="7E8F8905" w14:textId="77777777" w:rsidR="00D01ED8" w:rsidRDefault="00D01ED8" w:rsidP="00D01ED8">
      <w:pPr>
        <w:pStyle w:val="Notedebasdepage"/>
      </w:pPr>
      <w:r>
        <w:rPr>
          <w:rStyle w:val="Appelnotedebasdep"/>
        </w:rPr>
        <w:footnoteRef/>
      </w:r>
      <w:r>
        <w:tab/>
      </w:r>
      <w:r w:rsidRPr="00115ED1">
        <w:rPr>
          <w:i/>
        </w:rPr>
        <w:t>Canada Act 1982</w:t>
      </w:r>
      <w:r>
        <w:t>, Public General Acts, 1982, c. 11 (R.-V.), annexe B.</w:t>
      </w:r>
    </w:p>
  </w:footnote>
  <w:footnote w:id="11">
    <w:p w14:paraId="6388755B" w14:textId="77777777" w:rsidR="00D01ED8" w:rsidRDefault="00D01ED8" w:rsidP="00D01ED8">
      <w:pPr>
        <w:pStyle w:val="Notedebasdepage"/>
      </w:pPr>
      <w:r>
        <w:rPr>
          <w:rStyle w:val="Appelnotedebasdep"/>
        </w:rPr>
        <w:footnoteRef/>
      </w:r>
      <w:r>
        <w:tab/>
        <w:t xml:space="preserve">On en trouvera le texte dans </w:t>
      </w:r>
      <w:r w:rsidRPr="00E63C40">
        <w:rPr>
          <w:i/>
        </w:rPr>
        <w:t>L'Adhésion du Québec à l’Accord du lac Meech - Points de vue juridiques et politiques</w:t>
      </w:r>
      <w:r>
        <w:t>, (1988), pp. 230-255.</w:t>
      </w:r>
    </w:p>
  </w:footnote>
  <w:footnote w:id="12">
    <w:p w14:paraId="050B1DAC" w14:textId="77777777" w:rsidR="00D01ED8" w:rsidRDefault="00D01ED8" w:rsidP="00D01ED8">
      <w:pPr>
        <w:pStyle w:val="Notedebasdepage"/>
      </w:pPr>
      <w:r>
        <w:rPr>
          <w:rStyle w:val="Appelnotedebasdep"/>
        </w:rPr>
        <w:footnoteRef/>
      </w:r>
      <w:r>
        <w:tab/>
      </w:r>
      <w:r w:rsidRPr="00E63C40">
        <w:rPr>
          <w:i/>
        </w:rPr>
        <w:t>Opposition à une résolution pour modifier la Constitution</w:t>
      </w:r>
      <w:r>
        <w:t>, [1982] 2 R.C.S. 793.</w:t>
      </w:r>
    </w:p>
  </w:footnote>
  <w:footnote w:id="13">
    <w:p w14:paraId="167DFB65" w14:textId="77777777" w:rsidR="00D01ED8" w:rsidRDefault="00D01ED8" w:rsidP="00D01ED8">
      <w:pPr>
        <w:pStyle w:val="Notedebasdepage"/>
      </w:pPr>
      <w:r>
        <w:rPr>
          <w:rStyle w:val="Appelnotedebasdep"/>
        </w:rPr>
        <w:footnoteRef/>
      </w:r>
      <w:r>
        <w:tab/>
        <w:t xml:space="preserve">Accord constitutionnel, supra, note 11, art. 1er ajoutant l’art. 2(1) à la </w:t>
      </w:r>
      <w:r w:rsidRPr="00E63C40">
        <w:rPr>
          <w:i/>
        </w:rPr>
        <w:t>Loi constitutionnelle de 1867</w:t>
      </w:r>
      <w:r>
        <w:t>, 30-31 Vict., c. 3 (R.-U.). Voir l’exposé de L. Dion devant la Commission permanente des institutions de l’Assemblée n</w:t>
      </w:r>
      <w:r>
        <w:t>a</w:t>
      </w:r>
      <w:r>
        <w:t xml:space="preserve">tionale, le 14 mai 1987, dans </w:t>
      </w:r>
      <w:r w:rsidRPr="00E63C40">
        <w:rPr>
          <w:i/>
        </w:rPr>
        <w:t>Journal des débats</w:t>
      </w:r>
      <w:r>
        <w:t>, Commissions parlementa</w:t>
      </w:r>
      <w:r>
        <w:t>i</w:t>
      </w:r>
      <w:r>
        <w:t>res, 33</w:t>
      </w:r>
      <w:r w:rsidRPr="00E63C40">
        <w:rPr>
          <w:vertAlign w:val="superscript"/>
        </w:rPr>
        <w:t>e</w:t>
      </w:r>
      <w:r>
        <w:t xml:space="preserve"> législature, l</w:t>
      </w:r>
      <w:r w:rsidRPr="00E63C40">
        <w:rPr>
          <w:vertAlign w:val="superscript"/>
        </w:rPr>
        <w:t>re</w:t>
      </w:r>
      <w:r>
        <w:t xml:space="preserve"> session, n° 56, pp. CI-2177-2183 ; exposé de J.-Y. Morin, </w:t>
      </w:r>
      <w:r w:rsidRPr="00E63C40">
        <w:rPr>
          <w:i/>
        </w:rPr>
        <w:t>ibid</w:t>
      </w:r>
      <w:r>
        <w:t>., pp. 2192-2196. Voir également J. Woehrling, « La modific</w:t>
      </w:r>
      <w:r>
        <w:t>a</w:t>
      </w:r>
      <w:r>
        <w:t>tion constitutionnelle de 1987, la reconnaissance du Québec comme société distincte et la dualité lingui</w:t>
      </w:r>
      <w:r>
        <w:t>s</w:t>
      </w:r>
      <w:r>
        <w:t>tique du Canada », (1988) 29 C. de D. 3-63.</w:t>
      </w:r>
    </w:p>
  </w:footnote>
  <w:footnote w:id="14">
    <w:p w14:paraId="7A221619" w14:textId="77777777" w:rsidR="00D01ED8" w:rsidRDefault="00D01ED8" w:rsidP="00D01ED8">
      <w:pPr>
        <w:pStyle w:val="Notedebasdepage"/>
      </w:pPr>
      <w:r>
        <w:rPr>
          <w:rStyle w:val="Appelnotedebasdep"/>
        </w:rPr>
        <w:footnoteRef/>
      </w:r>
      <w:r>
        <w:tab/>
        <w:t xml:space="preserve">Accord constitutionnel, supra, note 11, art. 7, ajoutant l’art. 106A à la </w:t>
      </w:r>
      <w:r w:rsidRPr="00E63C40">
        <w:rPr>
          <w:i/>
        </w:rPr>
        <w:t>Loi constitutionnelle de 1867</w:t>
      </w:r>
      <w:r>
        <w:t>.</w:t>
      </w:r>
    </w:p>
  </w:footnote>
  <w:footnote w:id="15">
    <w:p w14:paraId="08B6B712" w14:textId="77777777" w:rsidR="00D01ED8" w:rsidRDefault="00D01ED8" w:rsidP="00D01ED8">
      <w:pPr>
        <w:pStyle w:val="Notedebasdepage"/>
      </w:pPr>
      <w:r>
        <w:rPr>
          <w:rStyle w:val="Appelnotedebasdep"/>
        </w:rPr>
        <w:footnoteRef/>
      </w:r>
      <w:r>
        <w:tab/>
        <w:t>S.R.C. 1970, App. III.</w:t>
      </w:r>
    </w:p>
  </w:footnote>
  <w:footnote w:id="16">
    <w:p w14:paraId="6499D5EC" w14:textId="77777777" w:rsidR="00D01ED8" w:rsidRDefault="00D01ED8" w:rsidP="00D01ED8">
      <w:pPr>
        <w:pStyle w:val="Notedebasdepage"/>
      </w:pPr>
      <w:r>
        <w:rPr>
          <w:rStyle w:val="Appelnotedebasdep"/>
        </w:rPr>
        <w:footnoteRef/>
      </w:r>
      <w:r>
        <w:tab/>
      </w:r>
      <w:r w:rsidRPr="00E63C40">
        <w:rPr>
          <w:i/>
        </w:rPr>
        <w:t>Loi constitutionnelle</w:t>
      </w:r>
      <w:r>
        <w:t>, supra, note 10, art. l</w:t>
      </w:r>
      <w:r w:rsidRPr="007A469B">
        <w:rPr>
          <w:vertAlign w:val="superscript"/>
        </w:rPr>
        <w:t>er</w:t>
      </w:r>
      <w:r>
        <w:t>-34.</w:t>
      </w:r>
    </w:p>
  </w:footnote>
  <w:footnote w:id="17">
    <w:p w14:paraId="7CB0BB43" w14:textId="77777777" w:rsidR="00D01ED8" w:rsidRDefault="00D01ED8" w:rsidP="00D01ED8">
      <w:pPr>
        <w:pStyle w:val="Notedebasdepage"/>
      </w:pPr>
      <w:r>
        <w:rPr>
          <w:rStyle w:val="Appelnotedebasdep"/>
        </w:rPr>
        <w:footnoteRef/>
      </w:r>
      <w:r>
        <w:tab/>
        <w:t xml:space="preserve">Voir J.-Y. Morin, « Une Charte des droits de l’homme pour le Québec », (1963), 9 </w:t>
      </w:r>
      <w:r w:rsidRPr="00E63C40">
        <w:rPr>
          <w:i/>
        </w:rPr>
        <w:t>Rev. droit McGill</w:t>
      </w:r>
      <w:r>
        <w:t xml:space="preserve"> 273.</w:t>
      </w:r>
    </w:p>
  </w:footnote>
  <w:footnote w:id="18">
    <w:p w14:paraId="230CF533" w14:textId="77777777" w:rsidR="00D01ED8" w:rsidRDefault="00D01ED8" w:rsidP="00D01ED8">
      <w:pPr>
        <w:pStyle w:val="Notedebasdepage"/>
      </w:pPr>
      <w:r>
        <w:rPr>
          <w:rStyle w:val="Appelnotedebasdep"/>
        </w:rPr>
        <w:footnoteRef/>
      </w:r>
      <w:r>
        <w:tab/>
      </w:r>
      <w:r w:rsidRPr="00E63C40">
        <w:rPr>
          <w:i/>
        </w:rPr>
        <w:t>Charte des droits et libertés de la personne</w:t>
      </w:r>
      <w:r>
        <w:t>, L.R.Q., c. C-12, telle que mod</w:t>
      </w:r>
      <w:r>
        <w:t>i</w:t>
      </w:r>
      <w:r>
        <w:t>fiée par L.Q. 1982, c. 61.</w:t>
      </w:r>
    </w:p>
  </w:footnote>
  <w:footnote w:id="19">
    <w:p w14:paraId="432762BE" w14:textId="77777777" w:rsidR="00D01ED8" w:rsidRDefault="00D01ED8" w:rsidP="00D01ED8">
      <w:pPr>
        <w:pStyle w:val="Notedebasdepage"/>
      </w:pPr>
      <w:r>
        <w:rPr>
          <w:rStyle w:val="Appelnotedebasdep"/>
        </w:rPr>
        <w:footnoteRef/>
      </w:r>
      <w:r>
        <w:tab/>
        <w:t xml:space="preserve">Voir </w:t>
      </w:r>
      <w:r w:rsidRPr="00E63C40">
        <w:rPr>
          <w:i/>
        </w:rPr>
        <w:t>Switzman c. Elbling</w:t>
      </w:r>
      <w:r>
        <w:t>, [1957] R.C.S. 285, à la p. 328.</w:t>
      </w:r>
    </w:p>
  </w:footnote>
  <w:footnote w:id="20">
    <w:p w14:paraId="5903FC39" w14:textId="77777777" w:rsidR="00D01ED8" w:rsidRDefault="00D01ED8" w:rsidP="00D01ED8">
      <w:pPr>
        <w:pStyle w:val="Notedebasdepage"/>
      </w:pPr>
      <w:r>
        <w:rPr>
          <w:rStyle w:val="Appelnotedebasdep"/>
        </w:rPr>
        <w:footnoteRef/>
      </w:r>
      <w:r>
        <w:tab/>
      </w:r>
      <w:r w:rsidRPr="007A469B">
        <w:rPr>
          <w:i/>
        </w:rPr>
        <w:t>P.G. Canada c. Ville de Montréal et Dupond</w:t>
      </w:r>
      <w:r>
        <w:t>, [1978] 2 R.C.S. 770, à la p. 795 (M. le juge Beetz).</w:t>
      </w:r>
    </w:p>
  </w:footnote>
  <w:footnote w:id="21">
    <w:p w14:paraId="08EFF173" w14:textId="77777777" w:rsidR="00D01ED8" w:rsidRDefault="00D01ED8" w:rsidP="00D01ED8">
      <w:pPr>
        <w:pStyle w:val="Notedebasdepage"/>
      </w:pPr>
      <w:r>
        <w:rPr>
          <w:rStyle w:val="Appelnotedebasdep"/>
        </w:rPr>
        <w:footnoteRef/>
      </w:r>
      <w:r>
        <w:tab/>
        <w:t xml:space="preserve">Commission des droits de la personne du Québec, </w:t>
      </w:r>
      <w:r w:rsidRPr="007A469B">
        <w:rPr>
          <w:i/>
        </w:rPr>
        <w:t>Texte annoté de la Charte des droits et libertés</w:t>
      </w:r>
      <w:r>
        <w:t>, (1986), pp. 85-87.</w:t>
      </w:r>
    </w:p>
  </w:footnote>
  <w:footnote w:id="22">
    <w:p w14:paraId="780E7AFA" w14:textId="77777777" w:rsidR="00D01ED8" w:rsidRDefault="00D01ED8" w:rsidP="00D01ED8">
      <w:pPr>
        <w:pStyle w:val="Notedebasdepage"/>
      </w:pPr>
      <w:r>
        <w:rPr>
          <w:rStyle w:val="Appelnotedebasdep"/>
        </w:rPr>
        <w:footnoteRef/>
      </w:r>
      <w:r>
        <w:tab/>
      </w:r>
      <w:r w:rsidRPr="007A469B">
        <w:rPr>
          <w:i/>
        </w:rPr>
        <w:t>Avis sur la Loi assurant la reprise des services dans les coll</w:t>
      </w:r>
      <w:r w:rsidRPr="007A469B">
        <w:rPr>
          <w:i/>
        </w:rPr>
        <w:t>è</w:t>
      </w:r>
      <w:r w:rsidRPr="007A469B">
        <w:rPr>
          <w:i/>
        </w:rPr>
        <w:t>ges et écoles du secteur public</w:t>
      </w:r>
      <w:r>
        <w:t>, 3 mars 1983, n° 412-49.</w:t>
      </w:r>
    </w:p>
  </w:footnote>
  <w:footnote w:id="23">
    <w:p w14:paraId="5E90BD7B" w14:textId="77777777" w:rsidR="00D01ED8" w:rsidRDefault="00D01ED8" w:rsidP="00D01ED8">
      <w:pPr>
        <w:pStyle w:val="Notedebasdepage"/>
      </w:pPr>
      <w:r>
        <w:rPr>
          <w:rStyle w:val="Appelnotedebasdep"/>
        </w:rPr>
        <w:footnoteRef/>
      </w:r>
      <w:r>
        <w:tab/>
      </w:r>
      <w:r w:rsidRPr="007A469B">
        <w:rPr>
          <w:i/>
        </w:rPr>
        <w:t>Débats de l’Assemblée Nationale</w:t>
      </w:r>
      <w:r>
        <w:t>, 32</w:t>
      </w:r>
      <w:r w:rsidRPr="007A469B">
        <w:rPr>
          <w:vertAlign w:val="superscript"/>
        </w:rPr>
        <w:t>e</w:t>
      </w:r>
      <w:r>
        <w:t xml:space="preserve"> législature, intersection O, Commi</w:t>
      </w:r>
      <w:r>
        <w:t>s</w:t>
      </w:r>
      <w:r>
        <w:t>sion permanente de la Justice, 13 octobre 1981, « Présentation des mémoires en regard des modifications à apporter à la Charte des droits et libertés de la personne », pp. B-1614 et B-1622.</w:t>
      </w:r>
    </w:p>
  </w:footnote>
  <w:footnote w:id="24">
    <w:p w14:paraId="71C210D7" w14:textId="77777777" w:rsidR="00D01ED8" w:rsidRDefault="00D01ED8" w:rsidP="00D01ED8">
      <w:pPr>
        <w:pStyle w:val="Notedebasdepage"/>
      </w:pPr>
      <w:r>
        <w:rPr>
          <w:rStyle w:val="Appelnotedebasdep"/>
        </w:rPr>
        <w:footnoteRef/>
      </w:r>
      <w:r>
        <w:tab/>
      </w:r>
      <w:r w:rsidRPr="007A469B">
        <w:rPr>
          <w:i/>
        </w:rPr>
        <w:t>P.G. du Québec c. Les Chaussures Brown</w:t>
      </w:r>
      <w:r>
        <w:rPr>
          <w:i/>
        </w:rPr>
        <w:t>’</w:t>
      </w:r>
      <w:r w:rsidRPr="007A469B">
        <w:rPr>
          <w:i/>
        </w:rPr>
        <w:t>s Inc</w:t>
      </w:r>
      <w:r>
        <w:t>., [1987] R.J.Q. 80 (C.A.).</w:t>
      </w:r>
    </w:p>
  </w:footnote>
  <w:footnote w:id="25">
    <w:p w14:paraId="3D0CFD4B" w14:textId="77777777" w:rsidR="00D01ED8" w:rsidRDefault="00D01ED8" w:rsidP="00D01ED8">
      <w:pPr>
        <w:pStyle w:val="Notedebasdepage"/>
      </w:pPr>
      <w:r>
        <w:rPr>
          <w:rStyle w:val="Appelnotedebasdep"/>
        </w:rPr>
        <w:footnoteRef/>
      </w:r>
      <w:r>
        <w:tab/>
      </w:r>
      <w:r w:rsidRPr="007A469B">
        <w:rPr>
          <w:i/>
        </w:rPr>
        <w:t>Mémoire concernant le projet de loi n° 1 sur la langue frança</w:t>
      </w:r>
      <w:r w:rsidRPr="007A469B">
        <w:rPr>
          <w:i/>
        </w:rPr>
        <w:t>i</w:t>
      </w:r>
      <w:r w:rsidRPr="007A469B">
        <w:rPr>
          <w:i/>
        </w:rPr>
        <w:t>se au Québec</w:t>
      </w:r>
      <w:r>
        <w:t>, 6 juin 1977, n° 412-1, p. 66.</w:t>
      </w:r>
    </w:p>
  </w:footnote>
  <w:footnote w:id="26">
    <w:p w14:paraId="365E0362" w14:textId="77777777" w:rsidR="00D01ED8" w:rsidRDefault="00D01ED8" w:rsidP="00D01ED8">
      <w:pPr>
        <w:pStyle w:val="Notedebasdepage"/>
      </w:pPr>
      <w:r>
        <w:rPr>
          <w:rStyle w:val="Appelnotedebasdep"/>
        </w:rPr>
        <w:footnoteRef/>
      </w:r>
      <w:r>
        <w:tab/>
      </w:r>
      <w:r w:rsidRPr="007A469B">
        <w:rPr>
          <w:i/>
        </w:rPr>
        <w:t>Charte, supra</w:t>
      </w:r>
      <w:r>
        <w:t>, note 18, art. 34 à 48.</w:t>
      </w:r>
    </w:p>
  </w:footnote>
  <w:footnote w:id="27">
    <w:p w14:paraId="4FB497F9" w14:textId="77777777" w:rsidR="00D01ED8" w:rsidRDefault="00D01ED8" w:rsidP="00D01ED8">
      <w:pPr>
        <w:pStyle w:val="Notedebasdepage"/>
      </w:pPr>
      <w:r>
        <w:rPr>
          <w:rStyle w:val="Appelnotedebasdep"/>
        </w:rPr>
        <w:footnoteRef/>
      </w:r>
      <w:r>
        <w:tab/>
      </w:r>
      <w:r w:rsidRPr="007A469B">
        <w:rPr>
          <w:i/>
        </w:rPr>
        <w:t>Droit constitutionnel</w:t>
      </w:r>
      <w:r>
        <w:t>, Supplément, 1985, p. 67.</w:t>
      </w:r>
    </w:p>
  </w:footnote>
  <w:footnote w:id="28">
    <w:p w14:paraId="5E370F56" w14:textId="77777777" w:rsidR="00D01ED8" w:rsidRDefault="00D01ED8" w:rsidP="00D01ED8">
      <w:pPr>
        <w:pStyle w:val="Notedebasdepage"/>
      </w:pPr>
      <w:r>
        <w:rPr>
          <w:rStyle w:val="Appelnotedebasdep"/>
        </w:rPr>
        <w:footnoteRef/>
      </w:r>
      <w:r>
        <w:tab/>
        <w:t>Arrêté en Conseil n° 1438-76 concernant la ratification du Pacte internati</w:t>
      </w:r>
      <w:r>
        <w:t>o</w:t>
      </w:r>
      <w:r>
        <w:t>nal relatif aux droits économiques, sociaux et culturels [...] ainsi que la s</w:t>
      </w:r>
      <w:r>
        <w:t>i</w:t>
      </w:r>
      <w:r>
        <w:t>gnature [...] d’une entente concernant les modalités et les mécanismes de participation [...] à la mise en œuvre de [cet] instrument intern</w:t>
      </w:r>
      <w:r>
        <w:t>a</w:t>
      </w:r>
      <w:r>
        <w:t>tional, 21 avril 1976 (non publié).</w:t>
      </w:r>
    </w:p>
  </w:footnote>
  <w:footnote w:id="29">
    <w:p w14:paraId="015434F5" w14:textId="77777777" w:rsidR="00D01ED8" w:rsidRDefault="00D01ED8" w:rsidP="00D01ED8">
      <w:pPr>
        <w:pStyle w:val="Notedebasdepage"/>
      </w:pPr>
      <w:r>
        <w:rPr>
          <w:rStyle w:val="Appelnotedebasdep"/>
        </w:rPr>
        <w:footnoteRef/>
      </w:r>
      <w:r>
        <w:tab/>
        <w:t xml:space="preserve">Instruments dont les textes sont reproduits dans M. Torrelli et R. Baudouin, </w:t>
      </w:r>
      <w:r w:rsidRPr="007A469B">
        <w:rPr>
          <w:i/>
        </w:rPr>
        <w:t>Les Droits de l'homme et les libertés publiques par les textes</w:t>
      </w:r>
      <w:r>
        <w:t>, (1972), pp. 306 et 318.</w:t>
      </w:r>
    </w:p>
  </w:footnote>
  <w:footnote w:id="30">
    <w:p w14:paraId="16803EE6" w14:textId="77777777" w:rsidR="00D01ED8" w:rsidRDefault="00D01ED8" w:rsidP="00D01ED8">
      <w:pPr>
        <w:pStyle w:val="Notedebasdepage"/>
      </w:pPr>
      <w:r>
        <w:rPr>
          <w:rStyle w:val="Appelnotedebasdep"/>
        </w:rPr>
        <w:footnoteRef/>
      </w:r>
      <w:r>
        <w:tab/>
        <w:t>Charte sociale européenne, supra, note 29, p. 306 (Partie I et art. 1</w:t>
      </w:r>
      <w:r w:rsidRPr="00477339">
        <w:rPr>
          <w:vertAlign w:val="superscript"/>
        </w:rPr>
        <w:t>er</w:t>
      </w:r>
      <w:r>
        <w:t>).</w:t>
      </w:r>
    </w:p>
  </w:footnote>
  <w:footnote w:id="31">
    <w:p w14:paraId="50F9B141" w14:textId="77777777" w:rsidR="00D01ED8" w:rsidRDefault="00D01ED8" w:rsidP="00D01ED8">
      <w:pPr>
        <w:pStyle w:val="Notedebasdepage"/>
      </w:pPr>
      <w:r>
        <w:rPr>
          <w:rStyle w:val="Appelnotedebasdep"/>
        </w:rPr>
        <w:footnoteRef/>
      </w:r>
      <w:r>
        <w:tab/>
      </w:r>
      <w:r w:rsidRPr="007A469B">
        <w:rPr>
          <w:i/>
        </w:rPr>
        <w:t>Supra</w:t>
      </w:r>
      <w:r>
        <w:t>, note 10, art. 1</w:t>
      </w:r>
      <w:r w:rsidRPr="007A469B">
        <w:rPr>
          <w:vertAlign w:val="superscript"/>
        </w:rPr>
        <w:t>er</w:t>
      </w:r>
      <w:r>
        <w:t xml:space="preserve"> et 42.</w:t>
      </w:r>
    </w:p>
  </w:footnote>
  <w:footnote w:id="32">
    <w:p w14:paraId="1611FCB2" w14:textId="77777777" w:rsidR="00D01ED8" w:rsidRDefault="00D01ED8" w:rsidP="00D01ED8">
      <w:pPr>
        <w:pStyle w:val="Notedebasdepage"/>
      </w:pPr>
      <w:r>
        <w:rPr>
          <w:rStyle w:val="Appelnotedebasdep"/>
        </w:rPr>
        <w:footnoteRef/>
      </w:r>
      <w:r>
        <w:tab/>
      </w:r>
      <w:r w:rsidRPr="007A469B">
        <w:rPr>
          <w:i/>
        </w:rPr>
        <w:t>Ibid</w:t>
      </w:r>
      <w:r>
        <w:t>., art. 33.</w:t>
      </w:r>
    </w:p>
  </w:footnote>
  <w:footnote w:id="33">
    <w:p w14:paraId="4B17EE03" w14:textId="77777777" w:rsidR="00D01ED8" w:rsidRDefault="00D01ED8" w:rsidP="00D01ED8">
      <w:pPr>
        <w:pStyle w:val="Notedebasdepage"/>
      </w:pPr>
      <w:r>
        <w:rPr>
          <w:rStyle w:val="Appelnotedebasdep"/>
        </w:rPr>
        <w:footnoteRef/>
      </w:r>
      <w:r>
        <w:tab/>
        <w:t>Loi visant à autoriser à titre temporaire des mesures extraordinaires de séc</w:t>
      </w:r>
      <w:r>
        <w:t>u</w:t>
      </w:r>
      <w:r>
        <w:t>rité en situation de crise nationale et à modifier d’autres lois en conséque</w:t>
      </w:r>
      <w:r>
        <w:t>n</w:t>
      </w:r>
      <w:r>
        <w:t>ce, 35-36-37 Eliz. D, projet de loi C-77.</w:t>
      </w:r>
    </w:p>
  </w:footnote>
  <w:footnote w:id="34">
    <w:p w14:paraId="7012CF84" w14:textId="77777777" w:rsidR="00D01ED8" w:rsidRDefault="00D01ED8" w:rsidP="00D01ED8">
      <w:pPr>
        <w:pStyle w:val="Notedebasdepage"/>
      </w:pPr>
      <w:r>
        <w:rPr>
          <w:rStyle w:val="Appelnotedebasdep"/>
        </w:rPr>
        <w:footnoteRef/>
      </w:r>
      <w:r>
        <w:tab/>
      </w:r>
      <w:r w:rsidRPr="00477339">
        <w:rPr>
          <w:i/>
        </w:rPr>
        <w:t>Ibid</w:t>
      </w:r>
      <w:r>
        <w:t>., art. 19.</w:t>
      </w:r>
    </w:p>
  </w:footnote>
  <w:footnote w:id="35">
    <w:p w14:paraId="1CAFE069" w14:textId="77777777" w:rsidR="00D01ED8" w:rsidRDefault="00D01ED8" w:rsidP="00D01ED8">
      <w:pPr>
        <w:pStyle w:val="Notedebasdepage"/>
      </w:pPr>
      <w:r>
        <w:rPr>
          <w:rStyle w:val="Appelnotedebasdep"/>
        </w:rPr>
        <w:footnoteRef/>
      </w:r>
      <w:r>
        <w:tab/>
      </w:r>
      <w:r w:rsidRPr="00477339">
        <w:rPr>
          <w:i/>
        </w:rPr>
        <w:t>Ibid</w:t>
      </w:r>
      <w:r>
        <w:t>., art. 59 et 60.</w:t>
      </w:r>
    </w:p>
  </w:footnote>
  <w:footnote w:id="36">
    <w:p w14:paraId="2240CD86" w14:textId="77777777" w:rsidR="00D01ED8" w:rsidRDefault="00D01ED8" w:rsidP="00D01ED8">
      <w:pPr>
        <w:pStyle w:val="Notedebasdepage"/>
      </w:pPr>
      <w:r>
        <w:rPr>
          <w:rStyle w:val="Appelnotedebasdep"/>
        </w:rPr>
        <w:footnoteRef/>
      </w:r>
      <w:r>
        <w:tab/>
      </w:r>
      <w:r w:rsidRPr="00477339">
        <w:rPr>
          <w:i/>
        </w:rPr>
        <w:t>Ibid</w:t>
      </w:r>
      <w:r>
        <w:t>., art. 48 à 56.</w:t>
      </w:r>
    </w:p>
  </w:footnote>
  <w:footnote w:id="37">
    <w:p w14:paraId="2B195C0E" w14:textId="77777777" w:rsidR="00D01ED8" w:rsidRDefault="00D01ED8" w:rsidP="00D01ED8">
      <w:pPr>
        <w:pStyle w:val="Notedebasdepage"/>
      </w:pPr>
      <w:r>
        <w:rPr>
          <w:rStyle w:val="Appelnotedebasdep"/>
        </w:rPr>
        <w:footnoteRef/>
      </w:r>
      <w:r>
        <w:tab/>
      </w:r>
      <w:r w:rsidRPr="00477339">
        <w:rPr>
          <w:i/>
        </w:rPr>
        <w:t>Lament for a Nation</w:t>
      </w:r>
      <w:r>
        <w:t xml:space="preserve">, (1965), récemment traduit en français par G. Laurion: </w:t>
      </w:r>
      <w:r w:rsidRPr="00477339">
        <w:rPr>
          <w:i/>
        </w:rPr>
        <w:t>Est-ce la fin du Canada?,</w:t>
      </w:r>
      <w:r>
        <w:t xml:space="preserve"> (1988).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D123" w14:textId="77777777" w:rsidR="00D01ED8" w:rsidRDefault="00D01ED8" w:rsidP="00D01ED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 Jacques-Yvan Morin, “Le droit public</w:t>
    </w:r>
    <w:r w:rsidRPr="008F250D">
      <w:rPr>
        <w:rFonts w:ascii="Times New Roman" w:hAnsi="Times New Roman"/>
      </w:rPr>
      <w:t>.”</w:t>
    </w:r>
    <w:r>
      <w:rPr>
        <w:rFonts w:ascii="Times New Roman" w:hAnsi="Times New Roman"/>
      </w:rPr>
      <w:t xml:space="preserve"> (1990)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74710387" w14:textId="77777777" w:rsidR="00D01ED8" w:rsidRDefault="00D01ED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621"/>
    <w:multiLevelType w:val="multilevel"/>
    <w:tmpl w:val="D0FA8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2156"/>
    <w:multiLevelType w:val="multilevel"/>
    <w:tmpl w:val="4122F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E64CD"/>
    <w:multiLevelType w:val="multilevel"/>
    <w:tmpl w:val="D3725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D2D61"/>
    <w:multiLevelType w:val="multilevel"/>
    <w:tmpl w:val="2A14CA5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907CC"/>
    <w:multiLevelType w:val="multilevel"/>
    <w:tmpl w:val="AB0C8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985287"/>
    <w:multiLevelType w:val="multilevel"/>
    <w:tmpl w:val="726C15D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D7147B"/>
    <w:multiLevelType w:val="multilevel"/>
    <w:tmpl w:val="C9A2D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0846B2"/>
    <w:multiLevelType w:val="multilevel"/>
    <w:tmpl w:val="A7562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60AF6"/>
    <w:multiLevelType w:val="multilevel"/>
    <w:tmpl w:val="6D8049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5B3B37"/>
    <w:multiLevelType w:val="multilevel"/>
    <w:tmpl w:val="EEF6E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26839"/>
    <w:multiLevelType w:val="multilevel"/>
    <w:tmpl w:val="369684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0135988">
    <w:abstractNumId w:val="4"/>
  </w:num>
  <w:num w:numId="2" w16cid:durableId="751854939">
    <w:abstractNumId w:val="8"/>
  </w:num>
  <w:num w:numId="3" w16cid:durableId="830172846">
    <w:abstractNumId w:val="3"/>
  </w:num>
  <w:num w:numId="4" w16cid:durableId="1750031920">
    <w:abstractNumId w:val="5"/>
  </w:num>
  <w:num w:numId="5" w16cid:durableId="745104231">
    <w:abstractNumId w:val="10"/>
  </w:num>
  <w:num w:numId="6" w16cid:durableId="636034992">
    <w:abstractNumId w:val="9"/>
  </w:num>
  <w:num w:numId="7" w16cid:durableId="1576166547">
    <w:abstractNumId w:val="7"/>
  </w:num>
  <w:num w:numId="8" w16cid:durableId="575555035">
    <w:abstractNumId w:val="0"/>
  </w:num>
  <w:num w:numId="9" w16cid:durableId="927467595">
    <w:abstractNumId w:val="1"/>
  </w:num>
  <w:num w:numId="10" w16cid:durableId="1297179180">
    <w:abstractNumId w:val="2"/>
  </w:num>
  <w:num w:numId="11" w16cid:durableId="1823036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2C6C3B"/>
    <w:rsid w:val="004C0DAF"/>
    <w:rsid w:val="00D01ED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A94F99"/>
  <w15:chartTrackingRefBased/>
  <w15:docId w15:val="{10BC0A6C-EE72-7F48-90B7-1820DC7D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292455"/>
    <w:pPr>
      <w:widowControl w:val="0"/>
      <w:pBdr>
        <w:bottom w:val="none" w:sz="0" w:space="0" w:color="auto"/>
      </w:pBdr>
      <w:ind w:left="0" w:right="0"/>
    </w:pPr>
    <w:rPr>
      <w:color w:val="auto"/>
      <w:sz w:val="96"/>
    </w:rPr>
  </w:style>
  <w:style w:type="paragraph" w:styleId="Corpsdetexte">
    <w:name w:val="Body Text"/>
    <w:basedOn w:val="Normal"/>
    <w:link w:val="CorpsdetexteCar"/>
    <w:rsid w:val="00CC2417"/>
    <w:pPr>
      <w:spacing w:before="360" w:after="240"/>
      <w:ind w:firstLine="0"/>
      <w:jc w:val="center"/>
    </w:pPr>
    <w:rPr>
      <w:sz w:val="72"/>
    </w:rPr>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paragraph" w:styleId="Corpsdetexte2">
    <w:name w:val="Body Text 2"/>
    <w:basedOn w:val="Normal"/>
    <w:link w:val="Corpsdetexte2Car"/>
    <w:rsid w:val="00CC2417"/>
    <w:pPr>
      <w:ind w:firstLine="0"/>
      <w:jc w:val="both"/>
    </w:pPr>
    <w:rPr>
      <w:rFonts w:ascii="Arial" w:hAnsi="Arial"/>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141B8E"/>
    <w:pPr>
      <w:tabs>
        <w:tab w:val="left" w:pos="810"/>
      </w:tabs>
      <w:ind w:left="540" w:hanging="540"/>
      <w:jc w:val="both"/>
    </w:pPr>
    <w:rPr>
      <w:color w:val="000000"/>
      <w:sz w:val="24"/>
      <w:szCs w:val="16"/>
    </w:rPr>
  </w:style>
  <w:style w:type="character" w:customStyle="1" w:styleId="NotedebasdepageCar">
    <w:name w:val="Note de bas de page Car"/>
    <w:basedOn w:val="Policepardfaut"/>
    <w:link w:val="Notedebasdepage"/>
    <w:rsid w:val="00141B8E"/>
    <w:rPr>
      <w:rFonts w:ascii="Times New Roman" w:eastAsia="Times New Roman" w:hAnsi="Times New Roman"/>
      <w:color w:val="000000"/>
      <w:sz w:val="24"/>
      <w:szCs w:val="16"/>
      <w:lang w:val="fr-CA" w:eastAsia="en-US"/>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paragraph" w:styleId="Retraitcorpsdetexte">
    <w:name w:val="Body Text Indent"/>
    <w:basedOn w:val="Normal"/>
    <w:link w:val="RetraitcorpsdetexteCar"/>
    <w:rsid w:val="00CC2417"/>
    <w:pPr>
      <w:ind w:left="20" w:firstLine="400"/>
    </w:pPr>
    <w:rPr>
      <w:rFonts w:ascii="Arial" w:hAnsi="Arial"/>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paragraph" w:styleId="Retraitcorpsdetexte3">
    <w:name w:val="Body Text Indent 3"/>
    <w:basedOn w:val="Normal"/>
    <w:link w:val="Retraitcorpsdetexte3Car"/>
    <w:rsid w:val="00CC2417"/>
    <w:pPr>
      <w:ind w:left="20" w:firstLine="380"/>
      <w:jc w:val="both"/>
    </w:pPr>
    <w:rPr>
      <w:rFonts w:ascii="Arial" w:hAnsi="Arial"/>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autoRedefine/>
    <w:rsid w:val="00E41653"/>
    <w:pPr>
      <w:tabs>
        <w:tab w:val="right" w:pos="9360"/>
      </w:tabs>
      <w:ind w:firstLine="0"/>
      <w:jc w:val="center"/>
    </w:pPr>
    <w:rPr>
      <w:b/>
      <w:lang w:eastAsia="fr-FR" w:bidi="fr-FR"/>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2">
    <w:name w:val="Title_st2"/>
    <w:basedOn w:val="Titlest"/>
    <w:rsid w:val="00D1231A"/>
    <w:rPr>
      <w:sz w:val="72"/>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4803D7"/>
    <w:pPr>
      <w:spacing w:before="120" w:after="120"/>
      <w:ind w:left="720" w:firstLine="0"/>
    </w:pPr>
    <w:rPr>
      <w:i/>
      <w:color w:val="0000FF"/>
      <w:u w:val="single"/>
      <w:lang w:eastAsia="fr-FR" w:bidi="fr-FR"/>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figst1">
    <w:name w:val="fig st 1"/>
    <w:basedOn w:val="figst"/>
    <w:autoRedefine/>
    <w:rsid w:val="00EA35AA"/>
    <w:pPr>
      <w:jc w:val="both"/>
    </w:pPr>
    <w:rPr>
      <w:lang w:val="fr-FR" w:eastAsia="fr-FR" w:bidi="fr-FR"/>
    </w:rPr>
  </w:style>
  <w:style w:type="character" w:customStyle="1" w:styleId="En-tte1Arial15ptEspacement0pt">
    <w:name w:val="En-tête #1 + Arial;15 pt;Espacement 0 pt"/>
    <w:basedOn w:val="Policepardfaut"/>
    <w:rsid w:val="00C72314"/>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En-tteoupieddepage48ptItalique">
    <w:name w:val="En-tête ou pied de page (4) + 8 pt;Italique"/>
    <w:basedOn w:val="Policepardfaut"/>
    <w:rsid w:val="00486E0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2NonItalique">
    <w:name w:val="Note de bas de page (2) + Non Italique"/>
    <w:basedOn w:val="Notedebasdepage2"/>
    <w:rsid w:val="00565535"/>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38ptNonGras">
    <w:name w:val="Note de bas de page (3) + 8 pt;Non Gras"/>
    <w:basedOn w:val="Notedebasdepage3"/>
    <w:rsid w:val="0056553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oupieddepageArial21ptEspacement0ptchelle90">
    <w:name w:val="En-tête ou pied de page + Arial;21 pt;Espacement 0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En-tte3211ptGras">
    <w:name w:val="En-tête #3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abledesmatires2NonItalique">
    <w:name w:val="Table des matières (2) + Non Italique"/>
    <w:basedOn w:val="TM2Car"/>
    <w:rsid w:val="00565535"/>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eastAsia="fr-FR" w:bidi="fr-FR"/>
    </w:rPr>
  </w:style>
  <w:style w:type="character" w:customStyle="1" w:styleId="En-tte125ptItalique">
    <w:name w:val="En-tête #1 + 25 pt;Italique"/>
    <w:basedOn w:val="Policepardfaut"/>
    <w:rsid w:val="00565535"/>
    <w:rPr>
      <w:rFonts w:ascii="Times New Roman" w:eastAsia="Times New Roman" w:hAnsi="Times New Roman" w:cs="Times New Roman"/>
      <w:b w:val="0"/>
      <w:bCs w:val="0"/>
      <w:i/>
      <w:iCs/>
      <w:smallCaps w:val="0"/>
      <w:strike w:val="0"/>
      <w:color w:val="000000"/>
      <w:spacing w:val="0"/>
      <w:w w:val="100"/>
      <w:position w:val="0"/>
      <w:sz w:val="50"/>
      <w:szCs w:val="50"/>
      <w:u w:val="none"/>
      <w:lang w:val="fr-FR" w:eastAsia="fr-FR" w:bidi="fr-FR"/>
    </w:rPr>
  </w:style>
  <w:style w:type="character" w:customStyle="1" w:styleId="En-tteoupieddepage8ptPetitesmajusculesEspacement0pt">
    <w:name w:val="En-tête ou pied de page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paragraph" w:customStyle="1" w:styleId="figtitrest">
    <w:name w:val="fig titre st"/>
    <w:basedOn w:val="figtitre"/>
    <w:autoRedefine/>
    <w:rsid w:val="00585869"/>
    <w:rPr>
      <w:b w:val="0"/>
      <w:color w:val="000090"/>
      <w:lang w:eastAsia="fr-FR" w:bidi="fr-FR"/>
    </w:rPr>
  </w:style>
  <w:style w:type="character" w:customStyle="1" w:styleId="Corpsdutexte211ptGras">
    <w:name w:val="Corps du texte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6ptPetitesmajusculesEspacement0pt">
    <w:name w:val="En-tête ou pied de page + 6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En-tteoupieddepage3PetitesmajusculesEspacement0pt">
    <w:name w:val="En-tête ou pied de page (3) + Petites majuscules;Espacement 0 pt"/>
    <w:basedOn w:val="Policepardfaut"/>
    <w:rsid w:val="00565535"/>
    <w:rPr>
      <w:rFonts w:ascii="Times New Roman" w:eastAsia="Times New Roman" w:hAnsi="Times New Roman" w:cs="Times New Roman"/>
      <w:b w:val="0"/>
      <w:bCs w:val="0"/>
      <w:i w:val="0"/>
      <w:iCs w:val="0"/>
      <w:smallCaps/>
      <w:strike w:val="0"/>
      <w:spacing w:val="10"/>
      <w:sz w:val="16"/>
      <w:szCs w:val="16"/>
      <w:u w:val="none"/>
    </w:rPr>
  </w:style>
  <w:style w:type="character" w:customStyle="1" w:styleId="En-tteoupieddepage48ptPetitesmajusculesEspacement0pt">
    <w:name w:val="En-tête ou pied de page (4)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En-tteoupieddepage4Arial21ptchelle90">
    <w:name w:val="En-tête ou pied de page (4) + Arial;21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Notedebasdepage3NonItalique">
    <w:name w:val="Note de bas de page (3) + Non Italique"/>
    <w:basedOn w:val="Notedebasdepage3"/>
    <w:rsid w:val="00745F2A"/>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En-tteoupieddepage10ptEspacement0pt">
    <w:name w:val="En-tête ou pied de page + 10 pt;Espacement 0 pt"/>
    <w:basedOn w:val="Policepardfaut"/>
    <w:rsid w:val="00745F2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Arial7ptGras">
    <w:name w:val="Corps du texte (2) + Arial;7 pt;Gras"/>
    <w:basedOn w:val="Policepardfaut"/>
    <w:rsid w:val="00745F2A"/>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10ptPetitesmajusculesEspacement0pt">
    <w:name w:val="En-tête ou pied de page + 10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ItaliqueEspacement0pt">
    <w:name w:val="En-tête ou pied de page + 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15ptItaliqueEspacement1pt">
    <w:name w:val="En-tête ou pied de page + 11.5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3"/>
      <w:szCs w:val="23"/>
      <w:u w:val="none"/>
      <w:lang w:val="fr-FR" w:eastAsia="fr-FR" w:bidi="fr-FR"/>
    </w:rPr>
  </w:style>
  <w:style w:type="character" w:customStyle="1" w:styleId="En-tteoupieddepagePetitesmajusculesEspacement0pt">
    <w:name w:val="En-tête ou pied de page + 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En-tteoupieddepage85ptPetitesmajusculesEspacement0pt">
    <w:name w:val="En-tête ou pied de page + 8.5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105ptItalique">
    <w:name w:val="Corps du texte (2) + 10.5 pt;Italique"/>
    <w:basedOn w:val="Policepardfaut"/>
    <w:rsid w:val="00745F2A"/>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12ptItaliqueEspacement0pt">
    <w:name w:val="En-tête ou pied de page + 12 pt;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oupieddepage17ptGrasItaliqueEspacement0pt">
    <w:name w:val="En-tête ou pied de page + 17 pt;Gras;Italique;Espacement 0 pt"/>
    <w:basedOn w:val="Policepardfaut"/>
    <w:rsid w:val="00745F2A"/>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oupieddepage19ptGrasEspacement0pt">
    <w:name w:val="En-tête ou pied de page + 19 pt;Gras;Espacement 0 pt"/>
    <w:basedOn w:val="Policepardfaut"/>
    <w:rsid w:val="00745F2A"/>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NotedebasdepagePetitesmajuscules">
    <w:name w:val="Note de bas de page + Petites majuscules"/>
    <w:basedOn w:val="Notedebasdepage0"/>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Lgendedelimage0">
    <w:name w:val="Légende de l'image_"/>
    <w:basedOn w:val="Policepardfaut"/>
    <w:rsid w:val="00745F2A"/>
    <w:rPr>
      <w:rFonts w:ascii="Arial" w:eastAsia="Arial" w:hAnsi="Arial" w:cs="Arial"/>
      <w:b/>
      <w:bCs/>
      <w:i w:val="0"/>
      <w:iCs w:val="0"/>
      <w:smallCaps w:val="0"/>
      <w:strike w:val="0"/>
      <w:sz w:val="28"/>
      <w:szCs w:val="28"/>
      <w:u w:val="none"/>
    </w:rPr>
  </w:style>
  <w:style w:type="character" w:customStyle="1" w:styleId="En-tteoupieddepage85ptPetitesmajuscules">
    <w:name w:val="En-tête ou pied de page + 8.5 pt;Petites majuscules"/>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En-tteoupieddepage11ptItaliqueEspacement-1pt">
    <w:name w:val="En-tête ou pied de page + 11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6TimesNewRoman18ptGras">
    <w:name w:val="Corps du texte (26) + Times New Roman;18 pt;Gras"/>
    <w:basedOn w:val="Policepardfaut"/>
    <w:rsid w:val="00745F2A"/>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oupieddepage11ptItaliqueEspacement0pt">
    <w:name w:val="En-tête ou pied de page + 11 pt;Italique;Espacement 0 pt"/>
    <w:basedOn w:val="Policepardfaut"/>
    <w:rsid w:val="00745F2A"/>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Tabledesmatires311ptNonItalique">
    <w:name w:val="Table des matières (3) + 11 pt;Non Italique"/>
    <w:basedOn w:val="Tabledesmatires30"/>
    <w:rsid w:val="00745F2A"/>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citationliste">
    <w:name w:val="citation liste"/>
    <w:basedOn w:val="Normal"/>
    <w:autoRedefine/>
    <w:rsid w:val="00745F2A"/>
    <w:pPr>
      <w:spacing w:before="120" w:after="120"/>
      <w:ind w:left="1080" w:hanging="360"/>
      <w:jc w:val="both"/>
    </w:pPr>
    <w:rPr>
      <w:color w:val="000090"/>
      <w:sz w:val="24"/>
      <w:lang w:eastAsia="fr-FR" w:bidi="fr-FR"/>
    </w:rPr>
  </w:style>
  <w:style w:type="paragraph" w:customStyle="1" w:styleId="d">
    <w:name w:val="d"/>
    <w:basedOn w:val="Normal"/>
    <w:autoRedefine/>
    <w:rsid w:val="008D2B9A"/>
    <w:pPr>
      <w:spacing w:before="120" w:after="120"/>
      <w:ind w:left="1440" w:firstLine="0"/>
    </w:pPr>
    <w:rPr>
      <w:i/>
      <w:color w:val="008000"/>
      <w:lang w:eastAsia="fr-FR" w:bidi="fr-FR"/>
    </w:rPr>
  </w:style>
  <w:style w:type="paragraph" w:customStyle="1" w:styleId="suitest">
    <w:name w:val="suite st"/>
    <w:basedOn w:val="Normal"/>
    <w:rsid w:val="003C16B8"/>
    <w:pPr>
      <w:spacing w:before="120" w:after="120"/>
      <w:ind w:firstLine="0"/>
      <w:jc w:val="center"/>
    </w:pPr>
    <w:rPr>
      <w:i/>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classiques.uqac.ca/contemporains/rioux_marcel/Les_Quebecois/Les_Quebecois.html" TargetMode="External"/><Relationship Id="rId1" Type="http://schemas.openxmlformats.org/officeDocument/2006/relationships/hyperlink" Target="http://classiques.uqac.ca/contemporains/levesque_georges_henri/continuite_et_rupture_t1/continuite_et_rupture_t1.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6029</Words>
  <Characters>33164</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“Le droit public.”</vt:lpstr>
    </vt:vector>
  </TitlesOfParts>
  <Manager>jean-marie tremblay, bénévole, 2023</Manager>
  <Company>Les Classiques des sciences sociales</Company>
  <LinksUpToDate>false</LinksUpToDate>
  <CharactersWithSpaces>39115</CharactersWithSpaces>
  <SharedDoc>false</SharedDoc>
  <HyperlinkBase/>
  <HLinks>
    <vt:vector size="66" baseType="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3080315</vt:i4>
      </vt:variant>
      <vt:variant>
        <vt:i4>3</vt:i4>
      </vt:variant>
      <vt:variant>
        <vt:i4>0</vt:i4>
      </vt:variant>
      <vt:variant>
        <vt:i4>5</vt:i4>
      </vt:variant>
      <vt:variant>
        <vt:lpwstr>http://classiques.uqac.ca/contemporains/rioux_marcel/Les_Quebecois/Les_Quebecois.html</vt:lpwstr>
      </vt:variant>
      <vt:variant>
        <vt:lpwstr/>
      </vt:variant>
      <vt:variant>
        <vt:i4>3932228</vt:i4>
      </vt:variant>
      <vt:variant>
        <vt:i4>0</vt:i4>
      </vt:variant>
      <vt:variant>
        <vt:i4>0</vt:i4>
      </vt:variant>
      <vt:variant>
        <vt:i4>5</vt:i4>
      </vt:variant>
      <vt:variant>
        <vt:lpwstr>http://classiques.uqac.ca/contemporains/levesque_georges_henri/continuite_et_rupture_t1/continuite_et_rupture_t1.html</vt:lpwstr>
      </vt:variant>
      <vt:variant>
        <vt:lpwstr/>
      </vt:variant>
      <vt:variant>
        <vt:i4>2228293</vt:i4>
      </vt:variant>
      <vt:variant>
        <vt:i4>2438</vt:i4>
      </vt:variant>
      <vt:variant>
        <vt:i4>1025</vt:i4>
      </vt:variant>
      <vt:variant>
        <vt:i4>1</vt:i4>
      </vt:variant>
      <vt:variant>
        <vt:lpwstr>css_logo_gris</vt:lpwstr>
      </vt:variant>
      <vt:variant>
        <vt:lpwstr/>
      </vt:variant>
      <vt:variant>
        <vt:i4>5111880</vt:i4>
      </vt:variant>
      <vt:variant>
        <vt:i4>2727</vt:i4>
      </vt:variant>
      <vt:variant>
        <vt:i4>1026</vt:i4>
      </vt:variant>
      <vt:variant>
        <vt:i4>1</vt:i4>
      </vt:variant>
      <vt:variant>
        <vt:lpwstr>UQAC_logo_2018</vt:lpwstr>
      </vt:variant>
      <vt:variant>
        <vt:lpwstr/>
      </vt:variant>
      <vt:variant>
        <vt:i4>1703963</vt:i4>
      </vt:variant>
      <vt:variant>
        <vt:i4>5689</vt:i4>
      </vt:variant>
      <vt:variant>
        <vt:i4>1027</vt:i4>
      </vt:variant>
      <vt:variant>
        <vt:i4>1</vt:i4>
      </vt:variant>
      <vt:variant>
        <vt:lpwstr>fait_sur_mac</vt:lpwstr>
      </vt:variant>
      <vt:variant>
        <vt:lpwstr/>
      </vt:variant>
      <vt:variant>
        <vt:i4>8257619</vt:i4>
      </vt:variant>
      <vt:variant>
        <vt:i4>5788</vt:i4>
      </vt:variant>
      <vt:variant>
        <vt:i4>1028</vt:i4>
      </vt:variant>
      <vt:variant>
        <vt:i4>1</vt:i4>
      </vt:variant>
      <vt:variant>
        <vt:lpwstr>Les_institutions_quebecoises_L50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droit public.”</dc:title>
  <dc:subject/>
  <dc:creator>par Jacques-Yvan Morin, 1990.</dc:creator>
  <cp:keywords>classiques.sc.soc@gmail.com</cp:keywords>
  <dc:description>http://classiques.uqac.ca/</dc:description>
  <cp:lastModifiedBy>jean-marie tremblay</cp:lastModifiedBy>
  <cp:revision>2</cp:revision>
  <cp:lastPrinted>2001-08-26T19:33:00Z</cp:lastPrinted>
  <dcterms:created xsi:type="dcterms:W3CDTF">2023-01-11T14:42:00Z</dcterms:created>
  <dcterms:modified xsi:type="dcterms:W3CDTF">2023-01-11T14:42:00Z</dcterms:modified>
  <cp:category>Jean-Marie Tremblay, sociologue, fondateur, 1993</cp:category>
</cp:coreProperties>
</file>