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02276" w:rsidRPr="00E07116" w14:paraId="5CC0D27A" w14:textId="77777777">
        <w:tc>
          <w:tcPr>
            <w:tcW w:w="9160" w:type="dxa"/>
            <w:shd w:val="clear" w:color="auto" w:fill="F0EDD3"/>
          </w:tcPr>
          <w:p w14:paraId="688FBDFE" w14:textId="77777777" w:rsidR="00E02276" w:rsidRPr="00E07116" w:rsidRDefault="00E02276" w:rsidP="00E02276">
            <w:pPr>
              <w:pStyle w:val="En-tte"/>
              <w:tabs>
                <w:tab w:val="clear" w:pos="4320"/>
                <w:tab w:val="clear" w:pos="8640"/>
              </w:tabs>
              <w:rPr>
                <w:rFonts w:ascii="Times New Roman" w:hAnsi="Times New Roman"/>
                <w:sz w:val="28"/>
                <w:lang w:val="en-CA"/>
              </w:rPr>
            </w:pPr>
            <w:bookmarkStart w:id="0" w:name="_GoBack"/>
            <w:bookmarkEnd w:id="0"/>
          </w:p>
          <w:p w14:paraId="6D78A1DF" w14:textId="77777777" w:rsidR="00E02276" w:rsidRPr="00E07116" w:rsidRDefault="00E02276">
            <w:pPr>
              <w:ind w:firstLine="0"/>
              <w:jc w:val="center"/>
              <w:rPr>
                <w:b/>
              </w:rPr>
            </w:pPr>
          </w:p>
          <w:p w14:paraId="47E6D7BB" w14:textId="77777777" w:rsidR="00E02276" w:rsidRDefault="00E02276" w:rsidP="00E02276">
            <w:pPr>
              <w:ind w:firstLine="0"/>
              <w:jc w:val="center"/>
              <w:rPr>
                <w:b/>
                <w:sz w:val="20"/>
              </w:rPr>
            </w:pPr>
          </w:p>
          <w:p w14:paraId="7DEEF42D" w14:textId="77777777" w:rsidR="00E02276" w:rsidRDefault="00E02276" w:rsidP="00E02276">
            <w:pPr>
              <w:ind w:firstLine="0"/>
              <w:jc w:val="center"/>
              <w:rPr>
                <w:b/>
                <w:sz w:val="20"/>
              </w:rPr>
            </w:pPr>
          </w:p>
          <w:p w14:paraId="531A5AFB" w14:textId="77777777" w:rsidR="00E02276" w:rsidRDefault="00E02276" w:rsidP="00E02276">
            <w:pPr>
              <w:ind w:firstLine="0"/>
              <w:jc w:val="center"/>
              <w:rPr>
                <w:b/>
                <w:sz w:val="20"/>
              </w:rPr>
            </w:pPr>
          </w:p>
          <w:p w14:paraId="35213A1B" w14:textId="77777777" w:rsidR="00E02276" w:rsidRPr="0027562B" w:rsidRDefault="00E02276" w:rsidP="00E02276">
            <w:pPr>
              <w:ind w:firstLine="0"/>
              <w:jc w:val="center"/>
              <w:rPr>
                <w:b/>
                <w:sz w:val="36"/>
              </w:rPr>
            </w:pPr>
            <w:r>
              <w:rPr>
                <w:sz w:val="36"/>
              </w:rPr>
              <w:t>Jean AOUTIN</w:t>
            </w:r>
          </w:p>
          <w:p w14:paraId="56BEFF5D" w14:textId="77777777" w:rsidR="00E02276" w:rsidRPr="00E73530" w:rsidRDefault="00E02276" w:rsidP="00E02276">
            <w:pPr>
              <w:spacing w:after="120"/>
              <w:ind w:firstLine="0"/>
              <w:jc w:val="center"/>
              <w:rPr>
                <w:sz w:val="20"/>
              </w:rPr>
            </w:pPr>
          </w:p>
          <w:p w14:paraId="78577FA7" w14:textId="77777777" w:rsidR="00E02276" w:rsidRPr="00AA0F60" w:rsidRDefault="00E02276" w:rsidP="00E02276">
            <w:pPr>
              <w:pStyle w:val="Corpsdetexte"/>
              <w:widowControl w:val="0"/>
              <w:spacing w:before="0" w:after="0"/>
              <w:rPr>
                <w:sz w:val="44"/>
              </w:rPr>
            </w:pPr>
            <w:r w:rsidRPr="00AA0F60">
              <w:rPr>
                <w:sz w:val="44"/>
              </w:rPr>
              <w:t>(</w:t>
            </w:r>
            <w:r>
              <w:rPr>
                <w:sz w:val="44"/>
              </w:rPr>
              <w:t>1980</w:t>
            </w:r>
            <w:r w:rsidRPr="00AA0F60">
              <w:rPr>
                <w:sz w:val="44"/>
              </w:rPr>
              <w:t>)</w:t>
            </w:r>
          </w:p>
          <w:p w14:paraId="4FC926F3" w14:textId="77777777" w:rsidR="00E02276" w:rsidRDefault="00E02276" w:rsidP="00E02276">
            <w:pPr>
              <w:pStyle w:val="Corpsdetexte"/>
              <w:widowControl w:val="0"/>
              <w:spacing w:before="0" w:after="0"/>
              <w:rPr>
                <w:color w:val="FF0000"/>
                <w:sz w:val="24"/>
              </w:rPr>
            </w:pPr>
          </w:p>
          <w:p w14:paraId="72E806B9" w14:textId="77777777" w:rsidR="00E02276" w:rsidRDefault="00E02276" w:rsidP="00E02276">
            <w:pPr>
              <w:pStyle w:val="Corpsdetexte"/>
              <w:widowControl w:val="0"/>
              <w:spacing w:before="0" w:after="0"/>
              <w:rPr>
                <w:color w:val="FF0000"/>
                <w:sz w:val="24"/>
              </w:rPr>
            </w:pPr>
          </w:p>
          <w:p w14:paraId="4A56EE3A" w14:textId="77777777" w:rsidR="00E02276" w:rsidRDefault="00E02276" w:rsidP="00E02276">
            <w:pPr>
              <w:pStyle w:val="Corpsdetexte"/>
              <w:widowControl w:val="0"/>
              <w:spacing w:before="0" w:after="0"/>
              <w:rPr>
                <w:color w:val="FF0000"/>
                <w:sz w:val="24"/>
              </w:rPr>
            </w:pPr>
          </w:p>
          <w:p w14:paraId="03FE0D34" w14:textId="77777777" w:rsidR="00E02276" w:rsidRPr="00E73530" w:rsidRDefault="00E02276" w:rsidP="00E02276">
            <w:pPr>
              <w:pStyle w:val="Titlest"/>
            </w:pPr>
            <w:r>
              <w:rPr>
                <w:sz w:val="72"/>
              </w:rPr>
              <w:t>“LA MACHINE</w:t>
            </w:r>
            <w:r>
              <w:rPr>
                <w:sz w:val="72"/>
              </w:rPr>
              <w:br/>
              <w:t>DÉCOMPOSÉE</w:t>
            </w:r>
            <w:r>
              <w:t>.</w:t>
            </w:r>
            <w:r w:rsidRPr="00E73530">
              <w:t>”</w:t>
            </w:r>
          </w:p>
          <w:p w14:paraId="444D271B" w14:textId="77777777" w:rsidR="00E02276" w:rsidRDefault="00E02276" w:rsidP="00E02276">
            <w:pPr>
              <w:widowControl w:val="0"/>
              <w:ind w:firstLine="0"/>
              <w:jc w:val="center"/>
            </w:pPr>
          </w:p>
          <w:p w14:paraId="5EE21EE2" w14:textId="77777777" w:rsidR="00E02276" w:rsidRDefault="00E02276" w:rsidP="00E02276">
            <w:pPr>
              <w:widowControl w:val="0"/>
              <w:ind w:firstLine="0"/>
              <w:jc w:val="center"/>
            </w:pPr>
          </w:p>
          <w:p w14:paraId="23C7A968" w14:textId="77777777" w:rsidR="00E02276" w:rsidRDefault="00E02276" w:rsidP="00E02276">
            <w:pPr>
              <w:widowControl w:val="0"/>
              <w:ind w:firstLine="0"/>
              <w:jc w:val="center"/>
            </w:pPr>
            <w:r>
              <w:t>Revue CULTURE TECHNIQUE, No 2</w:t>
            </w:r>
          </w:p>
          <w:p w14:paraId="3DBAC470" w14:textId="77777777" w:rsidR="00E02276" w:rsidRDefault="00E02276" w:rsidP="00E02276">
            <w:pPr>
              <w:widowControl w:val="0"/>
              <w:ind w:firstLine="0"/>
              <w:jc w:val="center"/>
            </w:pPr>
          </w:p>
          <w:p w14:paraId="410EC55E" w14:textId="77777777" w:rsidR="00E02276" w:rsidRDefault="00E02276" w:rsidP="00E02276">
            <w:pPr>
              <w:widowControl w:val="0"/>
              <w:ind w:firstLine="0"/>
              <w:jc w:val="center"/>
              <w:rPr>
                <w:sz w:val="20"/>
              </w:rPr>
            </w:pPr>
          </w:p>
          <w:p w14:paraId="6EB68854" w14:textId="77777777" w:rsidR="00E02276" w:rsidRDefault="00E02276" w:rsidP="00E02276">
            <w:pPr>
              <w:widowControl w:val="0"/>
              <w:ind w:firstLine="0"/>
              <w:jc w:val="center"/>
              <w:rPr>
                <w:sz w:val="20"/>
              </w:rPr>
            </w:pPr>
          </w:p>
          <w:p w14:paraId="6B98EEE8" w14:textId="77777777" w:rsidR="00E02276" w:rsidRPr="00384B20" w:rsidRDefault="00E02276">
            <w:pPr>
              <w:widowControl w:val="0"/>
              <w:ind w:firstLine="0"/>
              <w:jc w:val="center"/>
              <w:rPr>
                <w:sz w:val="20"/>
              </w:rPr>
            </w:pPr>
          </w:p>
          <w:p w14:paraId="651225CD" w14:textId="77777777" w:rsidR="00E02276" w:rsidRPr="00384B20" w:rsidRDefault="00E02276">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04411C7E" w14:textId="77777777" w:rsidR="00E02276" w:rsidRPr="00E07116" w:rsidRDefault="00E02276">
            <w:pPr>
              <w:widowControl w:val="0"/>
              <w:ind w:firstLine="0"/>
              <w:jc w:val="both"/>
            </w:pPr>
          </w:p>
          <w:p w14:paraId="50EEBA48" w14:textId="77777777" w:rsidR="00E02276" w:rsidRPr="00E07116" w:rsidRDefault="00E02276">
            <w:pPr>
              <w:widowControl w:val="0"/>
              <w:ind w:firstLine="0"/>
              <w:jc w:val="both"/>
            </w:pPr>
          </w:p>
          <w:p w14:paraId="716D31F2" w14:textId="77777777" w:rsidR="00E02276" w:rsidRPr="00E07116" w:rsidRDefault="00E02276">
            <w:pPr>
              <w:widowControl w:val="0"/>
              <w:ind w:firstLine="0"/>
              <w:jc w:val="both"/>
            </w:pPr>
          </w:p>
          <w:p w14:paraId="0522104C" w14:textId="77777777" w:rsidR="00E02276" w:rsidRDefault="00E02276">
            <w:pPr>
              <w:widowControl w:val="0"/>
              <w:ind w:firstLine="0"/>
              <w:jc w:val="both"/>
            </w:pPr>
          </w:p>
          <w:p w14:paraId="06D7DEFF" w14:textId="77777777" w:rsidR="00E02276" w:rsidRDefault="00E02276">
            <w:pPr>
              <w:widowControl w:val="0"/>
              <w:ind w:firstLine="0"/>
              <w:jc w:val="both"/>
            </w:pPr>
          </w:p>
          <w:p w14:paraId="229296A2" w14:textId="77777777" w:rsidR="00E02276" w:rsidRPr="00E07116" w:rsidRDefault="00E02276">
            <w:pPr>
              <w:widowControl w:val="0"/>
              <w:ind w:firstLine="0"/>
              <w:jc w:val="both"/>
            </w:pPr>
          </w:p>
          <w:p w14:paraId="6CA98EF4" w14:textId="77777777" w:rsidR="00E02276" w:rsidRDefault="00E02276">
            <w:pPr>
              <w:widowControl w:val="0"/>
              <w:ind w:firstLine="0"/>
              <w:jc w:val="both"/>
            </w:pPr>
          </w:p>
          <w:p w14:paraId="3FDE1922" w14:textId="77777777" w:rsidR="00E02276" w:rsidRPr="00E07116" w:rsidRDefault="00E02276">
            <w:pPr>
              <w:widowControl w:val="0"/>
              <w:ind w:firstLine="0"/>
              <w:jc w:val="both"/>
            </w:pPr>
          </w:p>
          <w:p w14:paraId="4676F5CF" w14:textId="77777777" w:rsidR="00E02276" w:rsidRPr="00E07116" w:rsidRDefault="00E02276">
            <w:pPr>
              <w:ind w:firstLine="0"/>
              <w:jc w:val="both"/>
            </w:pPr>
          </w:p>
        </w:tc>
      </w:tr>
    </w:tbl>
    <w:p w14:paraId="6C5768B6" w14:textId="77777777" w:rsidR="00E02276" w:rsidRDefault="00E02276" w:rsidP="00E02276">
      <w:pPr>
        <w:ind w:firstLine="0"/>
        <w:jc w:val="both"/>
      </w:pPr>
      <w:r w:rsidRPr="00E07116">
        <w:br w:type="page"/>
      </w:r>
    </w:p>
    <w:p w14:paraId="7058F883" w14:textId="77777777" w:rsidR="00E02276" w:rsidRDefault="00E02276" w:rsidP="00E02276">
      <w:pPr>
        <w:ind w:firstLine="0"/>
        <w:jc w:val="both"/>
      </w:pPr>
    </w:p>
    <w:p w14:paraId="2042B719" w14:textId="77777777" w:rsidR="00E02276" w:rsidRDefault="00E02276" w:rsidP="00E02276">
      <w:pPr>
        <w:ind w:firstLine="0"/>
        <w:jc w:val="both"/>
      </w:pPr>
    </w:p>
    <w:p w14:paraId="3A76F726" w14:textId="77777777" w:rsidR="00E02276" w:rsidRDefault="00E02276" w:rsidP="00E02276">
      <w:pPr>
        <w:ind w:firstLine="0"/>
        <w:jc w:val="both"/>
      </w:pPr>
    </w:p>
    <w:p w14:paraId="00F44812" w14:textId="77777777" w:rsidR="00E02276" w:rsidRDefault="00637EC3" w:rsidP="00E02276">
      <w:pPr>
        <w:ind w:firstLine="0"/>
        <w:jc w:val="right"/>
      </w:pPr>
      <w:r>
        <w:rPr>
          <w:noProof/>
        </w:rPr>
        <w:drawing>
          <wp:inline distT="0" distB="0" distL="0" distR="0" wp14:anchorId="18BB25AD" wp14:editId="5EA10F60">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67D9728" w14:textId="77777777" w:rsidR="00E02276" w:rsidRDefault="00E02276" w:rsidP="00E02276">
      <w:pPr>
        <w:ind w:firstLine="0"/>
        <w:jc w:val="right"/>
      </w:pPr>
      <w:hyperlink r:id="rId9" w:history="1">
        <w:r w:rsidRPr="00302466">
          <w:rPr>
            <w:rStyle w:val="Hyperlien"/>
          </w:rPr>
          <w:t>http://classiques.uqac.ca/</w:t>
        </w:r>
      </w:hyperlink>
      <w:r>
        <w:t xml:space="preserve"> </w:t>
      </w:r>
    </w:p>
    <w:p w14:paraId="0B1CB15A" w14:textId="77777777" w:rsidR="00E02276" w:rsidRDefault="00E02276" w:rsidP="00E02276">
      <w:pPr>
        <w:ind w:firstLine="0"/>
        <w:jc w:val="both"/>
      </w:pPr>
    </w:p>
    <w:p w14:paraId="66CC8423" w14:textId="77777777" w:rsidR="00E02276" w:rsidRDefault="00E02276" w:rsidP="00E02276">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4EF626A1" w14:textId="77777777" w:rsidR="00E02276" w:rsidRDefault="00E02276" w:rsidP="00E02276">
      <w:pPr>
        <w:ind w:firstLine="0"/>
        <w:jc w:val="both"/>
      </w:pPr>
    </w:p>
    <w:p w14:paraId="5434C840" w14:textId="77777777" w:rsidR="00E02276" w:rsidRDefault="00E02276" w:rsidP="00E02276">
      <w:pPr>
        <w:ind w:firstLine="0"/>
        <w:jc w:val="both"/>
      </w:pPr>
    </w:p>
    <w:tbl>
      <w:tblPr>
        <w:tblW w:w="0" w:type="auto"/>
        <w:tblLook w:val="00BF" w:firstRow="1" w:lastRow="0" w:firstColumn="1" w:lastColumn="0" w:noHBand="0" w:noVBand="0"/>
      </w:tblPr>
      <w:tblGrid>
        <w:gridCol w:w="4006"/>
        <w:gridCol w:w="3914"/>
      </w:tblGrid>
      <w:tr w:rsidR="00E02276" w14:paraId="41A6750A" w14:textId="77777777">
        <w:tc>
          <w:tcPr>
            <w:tcW w:w="4030" w:type="dxa"/>
          </w:tcPr>
          <w:p w14:paraId="07F33052" w14:textId="77777777" w:rsidR="00E02276" w:rsidRDefault="00637EC3" w:rsidP="00E02276">
            <w:pPr>
              <w:spacing w:before="120" w:after="120"/>
              <w:ind w:firstLine="0"/>
              <w:jc w:val="both"/>
            </w:pPr>
            <w:r>
              <w:rPr>
                <w:noProof/>
              </w:rPr>
              <w:drawing>
                <wp:inline distT="0" distB="0" distL="0" distR="0" wp14:anchorId="63D7B22F" wp14:editId="64DBACE2">
                  <wp:extent cx="2222500" cy="8934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893445"/>
                          </a:xfrm>
                          <a:prstGeom prst="rect">
                            <a:avLst/>
                          </a:prstGeom>
                          <a:noFill/>
                          <a:ln>
                            <a:noFill/>
                          </a:ln>
                        </pic:spPr>
                      </pic:pic>
                    </a:graphicData>
                  </a:graphic>
                </wp:inline>
              </w:drawing>
            </w:r>
          </w:p>
        </w:tc>
        <w:tc>
          <w:tcPr>
            <w:tcW w:w="4030" w:type="dxa"/>
          </w:tcPr>
          <w:p w14:paraId="179170F0" w14:textId="77777777" w:rsidR="00E02276" w:rsidRDefault="00637EC3" w:rsidP="00E02276">
            <w:pPr>
              <w:spacing w:before="120" w:after="120"/>
              <w:ind w:firstLine="0"/>
              <w:jc w:val="both"/>
            </w:pPr>
            <w:r>
              <w:rPr>
                <w:noProof/>
              </w:rPr>
              <w:drawing>
                <wp:inline distT="0" distB="0" distL="0" distR="0" wp14:anchorId="5A8444F3" wp14:editId="1F55F8DE">
                  <wp:extent cx="1445895" cy="5848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5895" cy="584835"/>
                          </a:xfrm>
                          <a:prstGeom prst="rect">
                            <a:avLst/>
                          </a:prstGeom>
                          <a:noFill/>
                          <a:ln>
                            <a:noFill/>
                          </a:ln>
                        </pic:spPr>
                      </pic:pic>
                    </a:graphicData>
                  </a:graphic>
                </wp:inline>
              </w:drawing>
            </w:r>
          </w:p>
        </w:tc>
      </w:tr>
      <w:tr w:rsidR="00E02276" w:rsidRPr="00B67BF4" w14:paraId="504E184B" w14:textId="77777777">
        <w:tc>
          <w:tcPr>
            <w:tcW w:w="4030" w:type="dxa"/>
          </w:tcPr>
          <w:p w14:paraId="29E4CFE9" w14:textId="77777777" w:rsidR="00E02276" w:rsidRPr="00B67BF4" w:rsidRDefault="00E02276" w:rsidP="00E02276">
            <w:pPr>
              <w:spacing w:before="120" w:after="120"/>
              <w:ind w:firstLine="0"/>
              <w:jc w:val="both"/>
              <w:rPr>
                <w:sz w:val="24"/>
              </w:rPr>
            </w:pPr>
            <w:hyperlink r:id="rId12" w:history="1">
              <w:r w:rsidRPr="00B67BF4">
                <w:rPr>
                  <w:rStyle w:val="Hyperlien"/>
                  <w:sz w:val="24"/>
                </w:rPr>
                <w:t>http://bibliotheque.uqac.ca/</w:t>
              </w:r>
            </w:hyperlink>
            <w:r w:rsidRPr="00B67BF4">
              <w:rPr>
                <w:sz w:val="24"/>
              </w:rPr>
              <w:t xml:space="preserve"> </w:t>
            </w:r>
          </w:p>
        </w:tc>
        <w:tc>
          <w:tcPr>
            <w:tcW w:w="4030" w:type="dxa"/>
          </w:tcPr>
          <w:p w14:paraId="4A08D7DD" w14:textId="77777777" w:rsidR="00E02276" w:rsidRPr="00B67BF4" w:rsidRDefault="00E02276" w:rsidP="00E02276">
            <w:pPr>
              <w:spacing w:before="120" w:after="120"/>
              <w:ind w:firstLine="0"/>
              <w:jc w:val="both"/>
              <w:rPr>
                <w:sz w:val="24"/>
              </w:rPr>
            </w:pPr>
            <w:hyperlink r:id="rId13" w:history="1">
              <w:r w:rsidRPr="00B67BF4">
                <w:rPr>
                  <w:rStyle w:val="Hyperlien"/>
                  <w:sz w:val="24"/>
                </w:rPr>
                <w:t>https://uqam.ca/</w:t>
              </w:r>
            </w:hyperlink>
            <w:r w:rsidRPr="00B67BF4">
              <w:rPr>
                <w:sz w:val="24"/>
              </w:rPr>
              <w:t xml:space="preserve"> </w:t>
            </w:r>
          </w:p>
        </w:tc>
      </w:tr>
    </w:tbl>
    <w:p w14:paraId="5F06DB5F" w14:textId="77777777" w:rsidR="00E02276" w:rsidRDefault="00E02276" w:rsidP="00E02276">
      <w:pPr>
        <w:ind w:firstLine="0"/>
        <w:jc w:val="both"/>
      </w:pPr>
    </w:p>
    <w:p w14:paraId="251ABB75" w14:textId="77777777" w:rsidR="00E02276" w:rsidRDefault="00E02276" w:rsidP="00E02276">
      <w:pPr>
        <w:ind w:firstLine="0"/>
        <w:jc w:val="both"/>
      </w:pPr>
    </w:p>
    <w:p w14:paraId="0D963938" w14:textId="77777777" w:rsidR="00E02276" w:rsidRDefault="00E02276" w:rsidP="00E02276">
      <w:pPr>
        <w:ind w:firstLine="0"/>
        <w:jc w:val="both"/>
      </w:pPr>
      <w:r>
        <w:t>L’UQÀM assurera à partir de juin 2024 la pérennité des Classiques des sciences sociales et son développement futur, bien sûr avec les bénévoles des Classiques des sciences sociales.</w:t>
      </w:r>
    </w:p>
    <w:p w14:paraId="571DD848" w14:textId="77777777" w:rsidR="00E02276" w:rsidRDefault="00E02276" w:rsidP="00E02276">
      <w:pPr>
        <w:ind w:firstLine="0"/>
        <w:jc w:val="both"/>
      </w:pPr>
    </w:p>
    <w:p w14:paraId="2EFF322D" w14:textId="77777777" w:rsidR="00E02276" w:rsidRDefault="00E02276" w:rsidP="00E02276">
      <w:pPr>
        <w:ind w:firstLine="0"/>
        <w:jc w:val="both"/>
      </w:pPr>
    </w:p>
    <w:p w14:paraId="0F34B108" w14:textId="77777777" w:rsidR="00E02276" w:rsidRDefault="00E02276" w:rsidP="00E02276">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73783AB9" w14:textId="77777777" w:rsidR="00E02276" w:rsidRPr="00E07116" w:rsidRDefault="00E02276" w:rsidP="00E02276">
      <w:pPr>
        <w:ind w:firstLine="0"/>
        <w:jc w:val="both"/>
        <w:rPr>
          <w:szCs w:val="32"/>
        </w:rPr>
      </w:pPr>
      <w:r w:rsidRPr="00E07116">
        <w:br w:type="page"/>
      </w:r>
    </w:p>
    <w:p w14:paraId="6671BB99" w14:textId="77777777" w:rsidR="00E02276" w:rsidRPr="00431906" w:rsidRDefault="00E02276">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3436C81B" w14:textId="77777777" w:rsidR="00E02276" w:rsidRPr="00E07116" w:rsidRDefault="00E02276">
      <w:pPr>
        <w:widowControl w:val="0"/>
        <w:autoSpaceDE w:val="0"/>
        <w:autoSpaceDN w:val="0"/>
        <w:adjustRightInd w:val="0"/>
        <w:rPr>
          <w:szCs w:val="32"/>
        </w:rPr>
      </w:pPr>
    </w:p>
    <w:p w14:paraId="34A78063" w14:textId="77777777" w:rsidR="00E02276" w:rsidRPr="00E07116" w:rsidRDefault="00E02276">
      <w:pPr>
        <w:widowControl w:val="0"/>
        <w:autoSpaceDE w:val="0"/>
        <w:autoSpaceDN w:val="0"/>
        <w:adjustRightInd w:val="0"/>
        <w:jc w:val="both"/>
        <w:rPr>
          <w:color w:val="1C1C1C"/>
          <w:szCs w:val="26"/>
        </w:rPr>
      </w:pPr>
    </w:p>
    <w:p w14:paraId="18F521DF" w14:textId="77777777" w:rsidR="00E02276" w:rsidRPr="00E07116" w:rsidRDefault="00E02276">
      <w:pPr>
        <w:widowControl w:val="0"/>
        <w:autoSpaceDE w:val="0"/>
        <w:autoSpaceDN w:val="0"/>
        <w:adjustRightInd w:val="0"/>
        <w:jc w:val="both"/>
        <w:rPr>
          <w:color w:val="1C1C1C"/>
          <w:szCs w:val="26"/>
        </w:rPr>
      </w:pPr>
    </w:p>
    <w:p w14:paraId="0F211B91" w14:textId="77777777" w:rsidR="00E02276" w:rsidRPr="00E07116" w:rsidRDefault="00E02276">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042B3BF5" w14:textId="77777777" w:rsidR="00E02276" w:rsidRPr="00E07116" w:rsidRDefault="00E02276">
      <w:pPr>
        <w:widowControl w:val="0"/>
        <w:autoSpaceDE w:val="0"/>
        <w:autoSpaceDN w:val="0"/>
        <w:adjustRightInd w:val="0"/>
        <w:jc w:val="both"/>
        <w:rPr>
          <w:color w:val="1C1C1C"/>
          <w:szCs w:val="26"/>
        </w:rPr>
      </w:pPr>
    </w:p>
    <w:p w14:paraId="09A7D4EA" w14:textId="77777777" w:rsidR="00E02276" w:rsidRPr="00E07116" w:rsidRDefault="00E02276" w:rsidP="00E02276">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069FBD40" w14:textId="77777777" w:rsidR="00E02276" w:rsidRPr="00E07116" w:rsidRDefault="00E02276" w:rsidP="00E02276">
      <w:pPr>
        <w:widowControl w:val="0"/>
        <w:autoSpaceDE w:val="0"/>
        <w:autoSpaceDN w:val="0"/>
        <w:adjustRightInd w:val="0"/>
        <w:jc w:val="both"/>
        <w:rPr>
          <w:color w:val="1C1C1C"/>
          <w:szCs w:val="26"/>
        </w:rPr>
      </w:pPr>
    </w:p>
    <w:p w14:paraId="392BE21E" w14:textId="77777777" w:rsidR="00E02276" w:rsidRPr="00E07116" w:rsidRDefault="00E02276" w:rsidP="00E0227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38E76A2" w14:textId="77777777" w:rsidR="00E02276" w:rsidRPr="00E07116" w:rsidRDefault="00E02276" w:rsidP="00E02276">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6B6A079B" w14:textId="77777777" w:rsidR="00E02276" w:rsidRPr="00E07116" w:rsidRDefault="00E02276" w:rsidP="00E02276">
      <w:pPr>
        <w:widowControl w:val="0"/>
        <w:autoSpaceDE w:val="0"/>
        <w:autoSpaceDN w:val="0"/>
        <w:adjustRightInd w:val="0"/>
        <w:jc w:val="both"/>
        <w:rPr>
          <w:color w:val="1C1C1C"/>
          <w:szCs w:val="26"/>
        </w:rPr>
      </w:pPr>
    </w:p>
    <w:p w14:paraId="5DB2AE95" w14:textId="77777777" w:rsidR="00E02276" w:rsidRPr="00E07116" w:rsidRDefault="00E02276">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2AE06BE9" w14:textId="77777777" w:rsidR="00E02276" w:rsidRPr="00E07116" w:rsidRDefault="00E02276">
      <w:pPr>
        <w:widowControl w:val="0"/>
        <w:autoSpaceDE w:val="0"/>
        <w:autoSpaceDN w:val="0"/>
        <w:adjustRightInd w:val="0"/>
        <w:jc w:val="both"/>
        <w:rPr>
          <w:color w:val="1C1C1C"/>
          <w:szCs w:val="26"/>
        </w:rPr>
      </w:pPr>
    </w:p>
    <w:p w14:paraId="7E98A50E" w14:textId="77777777" w:rsidR="00E02276" w:rsidRPr="00E07116" w:rsidRDefault="00E02276">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4100FB01" w14:textId="77777777" w:rsidR="00E02276" w:rsidRPr="00E07116" w:rsidRDefault="00E02276">
      <w:pPr>
        <w:rPr>
          <w:b/>
          <w:color w:val="1C1C1C"/>
          <w:szCs w:val="26"/>
        </w:rPr>
      </w:pPr>
    </w:p>
    <w:p w14:paraId="5DAA2503" w14:textId="77777777" w:rsidR="00E02276" w:rsidRPr="00E07116" w:rsidRDefault="00E02276">
      <w:pPr>
        <w:rPr>
          <w:b/>
          <w:color w:val="1C1C1C"/>
          <w:szCs w:val="26"/>
        </w:rPr>
      </w:pPr>
      <w:r w:rsidRPr="00E07116">
        <w:rPr>
          <w:b/>
          <w:color w:val="1C1C1C"/>
          <w:szCs w:val="26"/>
        </w:rPr>
        <w:t>L'accès à notre travail est libre et gratuit à tous les utilisateurs. C'est notre mission.</w:t>
      </w:r>
    </w:p>
    <w:p w14:paraId="635AC126" w14:textId="77777777" w:rsidR="00E02276" w:rsidRPr="00E07116" w:rsidRDefault="00E02276">
      <w:pPr>
        <w:rPr>
          <w:b/>
          <w:color w:val="1C1C1C"/>
          <w:szCs w:val="26"/>
        </w:rPr>
      </w:pPr>
    </w:p>
    <w:p w14:paraId="2BB0BF93" w14:textId="77777777" w:rsidR="00E02276" w:rsidRPr="00E07116" w:rsidRDefault="00E02276">
      <w:pPr>
        <w:rPr>
          <w:color w:val="1C1C1C"/>
          <w:szCs w:val="26"/>
        </w:rPr>
      </w:pPr>
      <w:r w:rsidRPr="00E07116">
        <w:rPr>
          <w:color w:val="1C1C1C"/>
          <w:szCs w:val="26"/>
        </w:rPr>
        <w:t>Jean-Marie Tremblay, sociologue</w:t>
      </w:r>
    </w:p>
    <w:p w14:paraId="36B22C0A" w14:textId="77777777" w:rsidR="00E02276" w:rsidRPr="00E07116" w:rsidRDefault="00E02276">
      <w:pPr>
        <w:rPr>
          <w:color w:val="1C1C1C"/>
          <w:szCs w:val="26"/>
        </w:rPr>
      </w:pPr>
      <w:r w:rsidRPr="00E07116">
        <w:rPr>
          <w:color w:val="1C1C1C"/>
          <w:szCs w:val="26"/>
        </w:rPr>
        <w:t>Fondateur et Président-directeur général,</w:t>
      </w:r>
    </w:p>
    <w:p w14:paraId="6C5059F7" w14:textId="77777777" w:rsidR="00E02276" w:rsidRPr="00E07116" w:rsidRDefault="00E02276">
      <w:pPr>
        <w:rPr>
          <w:color w:val="000080"/>
        </w:rPr>
      </w:pPr>
      <w:r w:rsidRPr="00E07116">
        <w:rPr>
          <w:color w:val="000080"/>
          <w:szCs w:val="26"/>
        </w:rPr>
        <w:t>LES CLASSIQUES DES SCIENCES SOCIALES.</w:t>
      </w:r>
    </w:p>
    <w:p w14:paraId="61984CDE" w14:textId="77777777" w:rsidR="00E02276" w:rsidRPr="00CF4C8E" w:rsidRDefault="00E02276" w:rsidP="00E02276">
      <w:pPr>
        <w:ind w:firstLine="0"/>
        <w:jc w:val="both"/>
        <w:rPr>
          <w:sz w:val="24"/>
        </w:rPr>
      </w:pPr>
      <w:r>
        <w:br w:type="page"/>
      </w:r>
      <w:r w:rsidRPr="00CF4C8E">
        <w:rPr>
          <w:sz w:val="24"/>
        </w:rPr>
        <w:t>Un document produit en version numérique par Jean-Marie Tremblay, bénévole, professeur associé, Université du Québec à Chicoutimi</w:t>
      </w:r>
    </w:p>
    <w:p w14:paraId="2AC9CF78" w14:textId="77777777" w:rsidR="00E02276" w:rsidRPr="00CF4C8E" w:rsidRDefault="00E02276" w:rsidP="00E02276">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1B28FAE0" w14:textId="77777777" w:rsidR="00E02276" w:rsidRPr="00CF4C8E" w:rsidRDefault="00E02276" w:rsidP="00E02276">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0E2D1368" w14:textId="77777777" w:rsidR="00E02276" w:rsidRPr="00CF4C8E" w:rsidRDefault="00E02276" w:rsidP="00E02276">
      <w:pPr>
        <w:ind w:left="20" w:hanging="20"/>
        <w:jc w:val="both"/>
        <w:rPr>
          <w:sz w:val="24"/>
        </w:rPr>
      </w:pPr>
      <w:proofErr w:type="gramStart"/>
      <w:r w:rsidRPr="00CF4C8E">
        <w:rPr>
          <w:sz w:val="24"/>
        </w:rPr>
        <w:t>à</w:t>
      </w:r>
      <w:proofErr w:type="gramEnd"/>
      <w:r w:rsidRPr="00CF4C8E">
        <w:rPr>
          <w:sz w:val="24"/>
        </w:rPr>
        <w:t xml:space="preserve"> partir du texte de :</w:t>
      </w:r>
    </w:p>
    <w:p w14:paraId="724E40D0" w14:textId="77777777" w:rsidR="00E02276" w:rsidRDefault="00E02276" w:rsidP="00E02276">
      <w:pPr>
        <w:ind w:firstLine="0"/>
        <w:rPr>
          <w:sz w:val="24"/>
        </w:rPr>
      </w:pPr>
    </w:p>
    <w:p w14:paraId="3F196911" w14:textId="77777777" w:rsidR="00E02276" w:rsidRPr="0012782F" w:rsidRDefault="00E02276" w:rsidP="00E02276">
      <w:pPr>
        <w:ind w:right="720" w:firstLine="0"/>
      </w:pPr>
      <w:r>
        <w:t>Jean Aoutin</w:t>
      </w:r>
    </w:p>
    <w:p w14:paraId="4CE0949B" w14:textId="77777777" w:rsidR="00E02276" w:rsidRDefault="00E02276" w:rsidP="00E02276">
      <w:pPr>
        <w:ind w:right="720" w:firstLine="0"/>
        <w:rPr>
          <w:sz w:val="24"/>
        </w:rPr>
      </w:pPr>
    </w:p>
    <w:p w14:paraId="5EB1D992" w14:textId="77777777" w:rsidR="00E02276" w:rsidRPr="00D45CA6" w:rsidRDefault="00E02276" w:rsidP="00E02276">
      <w:pPr>
        <w:ind w:firstLine="0"/>
        <w:rPr>
          <w:b/>
          <w:i/>
          <w:sz w:val="24"/>
        </w:rPr>
      </w:pPr>
      <w:r w:rsidRPr="008F0CC4">
        <w:rPr>
          <w:b/>
          <w:i/>
        </w:rPr>
        <w:t xml:space="preserve">“La </w:t>
      </w:r>
      <w:r>
        <w:rPr>
          <w:b/>
          <w:i/>
        </w:rPr>
        <w:t>machine décomposée</w:t>
      </w:r>
      <w:r w:rsidRPr="008F0CC4">
        <w:rPr>
          <w:b/>
          <w:i/>
        </w:rPr>
        <w:t>.”</w:t>
      </w:r>
    </w:p>
    <w:p w14:paraId="67F49904" w14:textId="77777777" w:rsidR="00E02276" w:rsidRPr="0058603D" w:rsidRDefault="00E02276" w:rsidP="00E02276">
      <w:pPr>
        <w:ind w:right="720" w:firstLine="0"/>
        <w:rPr>
          <w:sz w:val="24"/>
        </w:rPr>
      </w:pPr>
    </w:p>
    <w:p w14:paraId="2D9F2CA2" w14:textId="77777777" w:rsidR="00E02276" w:rsidRPr="00D45CA6" w:rsidRDefault="00E02276" w:rsidP="00E02276">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2, 1980, pp. 10-11. Neuilly-sur-Seine : Centre de recherche sur la culture technique.</w:t>
      </w:r>
    </w:p>
    <w:p w14:paraId="4E801832" w14:textId="77777777" w:rsidR="00E02276" w:rsidRPr="00384B20" w:rsidRDefault="00E02276" w:rsidP="00E02276">
      <w:pPr>
        <w:jc w:val="both"/>
        <w:rPr>
          <w:sz w:val="24"/>
        </w:rPr>
      </w:pPr>
    </w:p>
    <w:p w14:paraId="232D0BBC" w14:textId="77777777" w:rsidR="00E02276" w:rsidRPr="00384B20" w:rsidRDefault="00E02276" w:rsidP="00E02276">
      <w:pPr>
        <w:jc w:val="both"/>
        <w:rPr>
          <w:sz w:val="24"/>
        </w:rPr>
      </w:pPr>
    </w:p>
    <w:p w14:paraId="1227EF69" w14:textId="77777777" w:rsidR="00E02276" w:rsidRPr="00384B20" w:rsidRDefault="00E02276" w:rsidP="00E02276">
      <w:pPr>
        <w:ind w:left="20"/>
        <w:jc w:val="both"/>
        <w:rPr>
          <w:sz w:val="24"/>
        </w:rPr>
      </w:pPr>
      <w:r>
        <w:rPr>
          <w:sz w:val="24"/>
        </w:rPr>
        <w:t>Le 27 novembre 2019, MM. Jocelyn de Noblet et Thierry Gaudin nous ont confirmé leur autorisation de diffuser tous les numéros de la revue CULTURE TECHNIQUE en libre accès à tous dans Les Classiques des sciences soci</w:t>
      </w:r>
      <w:r>
        <w:rPr>
          <w:sz w:val="24"/>
        </w:rPr>
        <w:t>a</w:t>
      </w:r>
      <w:r>
        <w:rPr>
          <w:sz w:val="24"/>
        </w:rPr>
        <w:t>les.</w:t>
      </w:r>
    </w:p>
    <w:p w14:paraId="211846E5" w14:textId="77777777" w:rsidR="00E02276" w:rsidRPr="00384B20" w:rsidRDefault="00E02276" w:rsidP="00E02276">
      <w:pPr>
        <w:jc w:val="both"/>
        <w:rPr>
          <w:sz w:val="24"/>
        </w:rPr>
      </w:pPr>
    </w:p>
    <w:p w14:paraId="3B647810" w14:textId="77777777" w:rsidR="00E02276" w:rsidRDefault="00637EC3" w:rsidP="00E02276">
      <w:pPr>
        <w:tabs>
          <w:tab w:val="left" w:pos="3150"/>
        </w:tabs>
        <w:ind w:firstLine="0"/>
        <w:rPr>
          <w:rFonts w:eastAsia="Times" w:cs="TimesNewRomanPSMT"/>
          <w:color w:val="144FAF"/>
          <w:sz w:val="24"/>
          <w:szCs w:val="28"/>
          <w:lang w:val="fr-FR" w:eastAsia="fr-FR"/>
        </w:rPr>
      </w:pPr>
      <w:r w:rsidRPr="008F0CC4">
        <w:rPr>
          <w:noProof/>
          <w:sz w:val="24"/>
          <w:lang w:val="fr-FR" w:eastAsia="fr-FR"/>
        </w:rPr>
        <w:drawing>
          <wp:inline distT="0" distB="0" distL="0" distR="0" wp14:anchorId="40392747" wp14:editId="6BA4A555">
            <wp:extent cx="255270" cy="25527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E02276" w:rsidRPr="008F0CC4">
        <w:rPr>
          <w:sz w:val="24"/>
        </w:rPr>
        <w:t xml:space="preserve"> Courriel</w:t>
      </w:r>
      <w:r w:rsidR="00E02276">
        <w:rPr>
          <w:sz w:val="24"/>
        </w:rPr>
        <w:t>s</w:t>
      </w:r>
      <w:r w:rsidR="00E02276" w:rsidRPr="008F0CC4">
        <w:rPr>
          <w:sz w:val="24"/>
        </w:rPr>
        <w:t xml:space="preserve"> : </w:t>
      </w:r>
      <w:r w:rsidR="00E02276" w:rsidRPr="008F0CC4">
        <w:rPr>
          <w:rFonts w:eastAsia="Times" w:cs="TimesNewRomanPSMT"/>
          <w:color w:val="144FAF"/>
          <w:sz w:val="24"/>
          <w:szCs w:val="28"/>
          <w:lang w:val="fr-FR" w:eastAsia="fr-FR"/>
        </w:rPr>
        <w:t xml:space="preserve">Jocelyn De Noblet : </w:t>
      </w:r>
      <w:hyperlink r:id="rId17" w:history="1">
        <w:r w:rsidR="00E02276" w:rsidRPr="008F0CC4">
          <w:rPr>
            <w:rStyle w:val="Hyperlien"/>
            <w:rFonts w:eastAsia="Times" w:cs="TimesNewRomanPSMT"/>
            <w:sz w:val="24"/>
            <w:szCs w:val="28"/>
            <w:lang w:val="fr-FR" w:eastAsia="fr-FR"/>
          </w:rPr>
          <w:t>margaret.denoblet@free.fr</w:t>
        </w:r>
      </w:hyperlink>
      <w:r w:rsidR="00E02276" w:rsidRPr="008F0CC4">
        <w:rPr>
          <w:rFonts w:eastAsia="Times" w:cs="TimesNewRomanPSMT"/>
          <w:color w:val="144FAF"/>
          <w:sz w:val="24"/>
          <w:szCs w:val="28"/>
          <w:lang w:val="fr-FR" w:eastAsia="fr-FR"/>
        </w:rPr>
        <w:t xml:space="preserve"> </w:t>
      </w:r>
    </w:p>
    <w:p w14:paraId="185ED27C" w14:textId="77777777" w:rsidR="00E02276" w:rsidRPr="008F0CC4" w:rsidRDefault="00E02276" w:rsidP="00E02276">
      <w:pPr>
        <w:tabs>
          <w:tab w:val="left" w:pos="3150"/>
        </w:tabs>
        <w:ind w:firstLine="0"/>
        <w:rPr>
          <w:sz w:val="24"/>
        </w:rPr>
      </w:pPr>
      <w:r>
        <w:rPr>
          <w:rFonts w:eastAsia="Times" w:cs="TimesNewRomanPSMT"/>
          <w:color w:val="144FAF"/>
          <w:sz w:val="24"/>
          <w:szCs w:val="28"/>
          <w:lang w:val="fr-FR" w:eastAsia="fr-FR"/>
        </w:rPr>
        <w:t xml:space="preserve">Thierry Gaudin : </w:t>
      </w:r>
      <w:hyperlink r:id="rId18" w:history="1">
        <w:r w:rsidRPr="00C36275">
          <w:rPr>
            <w:rStyle w:val="Hyperlien"/>
            <w:rFonts w:eastAsia="Times" w:cs="TimesNewRomanPSMT"/>
            <w:sz w:val="24"/>
            <w:szCs w:val="28"/>
            <w:lang w:val="fr-FR" w:eastAsia="fr-FR"/>
          </w:rPr>
          <w:t>gaudin@2100.org</w:t>
        </w:r>
      </w:hyperlink>
      <w:r>
        <w:rPr>
          <w:rFonts w:eastAsia="Times" w:cs="TimesNewRomanPSMT"/>
          <w:color w:val="144FAF"/>
          <w:sz w:val="24"/>
          <w:szCs w:val="28"/>
          <w:lang w:val="fr-FR" w:eastAsia="fr-FR"/>
        </w:rPr>
        <w:t xml:space="preserve"> </w:t>
      </w:r>
    </w:p>
    <w:p w14:paraId="08BD9C44" w14:textId="77777777" w:rsidR="00E02276" w:rsidRPr="00384B20" w:rsidRDefault="00E02276" w:rsidP="00E02276">
      <w:pPr>
        <w:ind w:left="20"/>
        <w:jc w:val="both"/>
        <w:rPr>
          <w:sz w:val="24"/>
        </w:rPr>
      </w:pPr>
    </w:p>
    <w:p w14:paraId="6D209F89" w14:textId="77777777" w:rsidR="00E02276" w:rsidRPr="00384B20" w:rsidRDefault="00E0227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7954BE0" w14:textId="77777777" w:rsidR="00E02276" w:rsidRPr="00384B20" w:rsidRDefault="00E02276">
      <w:pPr>
        <w:ind w:right="1800" w:firstLine="0"/>
        <w:jc w:val="both"/>
        <w:rPr>
          <w:sz w:val="24"/>
        </w:rPr>
      </w:pPr>
    </w:p>
    <w:p w14:paraId="558C82A7" w14:textId="77777777" w:rsidR="00E02276" w:rsidRPr="00384B20" w:rsidRDefault="00E02276" w:rsidP="00E02276">
      <w:pPr>
        <w:ind w:left="360" w:right="360" w:firstLine="0"/>
        <w:jc w:val="both"/>
        <w:rPr>
          <w:sz w:val="24"/>
        </w:rPr>
      </w:pPr>
      <w:r w:rsidRPr="00384B20">
        <w:rPr>
          <w:sz w:val="24"/>
        </w:rPr>
        <w:t>Pour le texte: Times New Roman, 14 points.</w:t>
      </w:r>
    </w:p>
    <w:p w14:paraId="0A7D15F1" w14:textId="77777777" w:rsidR="00E02276" w:rsidRPr="00384B20" w:rsidRDefault="00E02276" w:rsidP="00E02276">
      <w:pPr>
        <w:ind w:left="360" w:right="360" w:firstLine="0"/>
        <w:jc w:val="both"/>
        <w:rPr>
          <w:sz w:val="24"/>
        </w:rPr>
      </w:pPr>
      <w:r w:rsidRPr="00384B20">
        <w:rPr>
          <w:sz w:val="24"/>
        </w:rPr>
        <w:t>Pour les notes de bas de page : Times New Roman, 12 points.</w:t>
      </w:r>
    </w:p>
    <w:p w14:paraId="7BBF66C9" w14:textId="77777777" w:rsidR="00E02276" w:rsidRPr="00384B20" w:rsidRDefault="00E02276">
      <w:pPr>
        <w:ind w:left="360" w:right="1800" w:firstLine="0"/>
        <w:jc w:val="both"/>
        <w:rPr>
          <w:sz w:val="24"/>
        </w:rPr>
      </w:pPr>
    </w:p>
    <w:p w14:paraId="78D71B9C" w14:textId="77777777" w:rsidR="00E02276" w:rsidRPr="00384B20" w:rsidRDefault="00E02276">
      <w:pPr>
        <w:ind w:right="360" w:firstLine="0"/>
        <w:jc w:val="both"/>
        <w:rPr>
          <w:sz w:val="24"/>
        </w:rPr>
      </w:pPr>
      <w:r w:rsidRPr="00384B20">
        <w:rPr>
          <w:sz w:val="24"/>
        </w:rPr>
        <w:t>Édition électronique réalisée avec le traitement de textes Microsoft Word 2008 pour Macintosh.</w:t>
      </w:r>
    </w:p>
    <w:p w14:paraId="6F4B33C5" w14:textId="77777777" w:rsidR="00E02276" w:rsidRPr="00384B20" w:rsidRDefault="00E02276">
      <w:pPr>
        <w:ind w:right="1800" w:firstLine="0"/>
        <w:jc w:val="both"/>
        <w:rPr>
          <w:sz w:val="24"/>
        </w:rPr>
      </w:pPr>
    </w:p>
    <w:p w14:paraId="330DEF66" w14:textId="77777777" w:rsidR="00E02276" w:rsidRPr="00384B20" w:rsidRDefault="00E02276" w:rsidP="00E02276">
      <w:pPr>
        <w:ind w:right="540" w:firstLine="0"/>
        <w:jc w:val="both"/>
        <w:rPr>
          <w:sz w:val="24"/>
        </w:rPr>
      </w:pPr>
      <w:r w:rsidRPr="00384B20">
        <w:rPr>
          <w:sz w:val="24"/>
        </w:rPr>
        <w:t>Mise en page sur papier format : LETTRE US, 8.5’’ x 11’’.</w:t>
      </w:r>
    </w:p>
    <w:p w14:paraId="38A5E602" w14:textId="77777777" w:rsidR="00E02276" w:rsidRPr="00384B20" w:rsidRDefault="00E02276">
      <w:pPr>
        <w:ind w:right="1800" w:firstLine="0"/>
        <w:jc w:val="both"/>
        <w:rPr>
          <w:sz w:val="24"/>
        </w:rPr>
      </w:pPr>
    </w:p>
    <w:p w14:paraId="4F75BF48" w14:textId="77777777" w:rsidR="00E02276" w:rsidRPr="00384B20" w:rsidRDefault="00E02276" w:rsidP="00E02276">
      <w:pPr>
        <w:ind w:firstLine="0"/>
        <w:jc w:val="both"/>
        <w:rPr>
          <w:sz w:val="24"/>
        </w:rPr>
      </w:pPr>
      <w:r w:rsidRPr="00384B20">
        <w:rPr>
          <w:sz w:val="24"/>
        </w:rPr>
        <w:t xml:space="preserve">Édition numérique réalisée le </w:t>
      </w:r>
      <w:r>
        <w:rPr>
          <w:sz w:val="24"/>
        </w:rPr>
        <w:t>13 juillet 2024 à Chicoutimi</w:t>
      </w:r>
      <w:r w:rsidRPr="00384B20">
        <w:rPr>
          <w:sz w:val="24"/>
        </w:rPr>
        <w:t>, Québec.</w:t>
      </w:r>
    </w:p>
    <w:p w14:paraId="7337FDDA" w14:textId="77777777" w:rsidR="00E02276" w:rsidRPr="00384B20" w:rsidRDefault="00E02276">
      <w:pPr>
        <w:ind w:right="1800" w:firstLine="0"/>
        <w:jc w:val="both"/>
        <w:rPr>
          <w:sz w:val="24"/>
        </w:rPr>
      </w:pPr>
    </w:p>
    <w:p w14:paraId="46128616" w14:textId="77777777" w:rsidR="00E02276" w:rsidRPr="00E07116" w:rsidRDefault="00637EC3">
      <w:pPr>
        <w:ind w:right="1800" w:firstLine="0"/>
        <w:jc w:val="both"/>
      </w:pPr>
      <w:r w:rsidRPr="00195690">
        <w:rPr>
          <w:noProof/>
          <w:lang w:val="fr-FR" w:eastAsia="fr-FR"/>
        </w:rPr>
        <w:drawing>
          <wp:inline distT="0" distB="0" distL="0" distR="0" wp14:anchorId="2667A637" wp14:editId="71605B07">
            <wp:extent cx="111633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4FAED76D" w14:textId="77777777" w:rsidR="00E02276" w:rsidRDefault="00E02276" w:rsidP="00E02276">
      <w:pPr>
        <w:ind w:firstLine="0"/>
        <w:jc w:val="both"/>
      </w:pPr>
      <w:r w:rsidRPr="00E07116">
        <w:br w:type="page"/>
      </w:r>
    </w:p>
    <w:p w14:paraId="018B5DD9" w14:textId="77777777" w:rsidR="00E02276" w:rsidRPr="0027562B" w:rsidRDefault="00E02276" w:rsidP="00E02276">
      <w:pPr>
        <w:ind w:firstLine="0"/>
        <w:jc w:val="center"/>
        <w:rPr>
          <w:b/>
          <w:sz w:val="36"/>
        </w:rPr>
      </w:pPr>
      <w:r>
        <w:rPr>
          <w:sz w:val="36"/>
        </w:rPr>
        <w:t>Jean AOUTIN</w:t>
      </w:r>
    </w:p>
    <w:p w14:paraId="5A9BFADD" w14:textId="77777777" w:rsidR="00E02276" w:rsidRPr="00E07116" w:rsidRDefault="00E02276" w:rsidP="00E02276">
      <w:pPr>
        <w:ind w:firstLine="0"/>
        <w:jc w:val="center"/>
      </w:pPr>
    </w:p>
    <w:p w14:paraId="2CF3D07F" w14:textId="77777777" w:rsidR="00E02276" w:rsidRPr="00D45CA6" w:rsidRDefault="00E02276" w:rsidP="00E02276">
      <w:pPr>
        <w:ind w:firstLine="0"/>
        <w:jc w:val="center"/>
        <w:rPr>
          <w:color w:val="000080"/>
          <w:sz w:val="36"/>
        </w:rPr>
      </w:pPr>
      <w:r w:rsidRPr="0012782F">
        <w:rPr>
          <w:color w:val="000080"/>
          <w:sz w:val="36"/>
        </w:rPr>
        <w:t>“</w:t>
      </w:r>
      <w:r>
        <w:rPr>
          <w:color w:val="000080"/>
          <w:sz w:val="36"/>
        </w:rPr>
        <w:t>La machine décomposée.</w:t>
      </w:r>
      <w:r w:rsidRPr="0012782F">
        <w:rPr>
          <w:color w:val="000080"/>
          <w:sz w:val="36"/>
        </w:rPr>
        <w:t>”</w:t>
      </w:r>
    </w:p>
    <w:p w14:paraId="20925FC5" w14:textId="77777777" w:rsidR="00E02276" w:rsidRPr="008B4504" w:rsidRDefault="00E02276" w:rsidP="00E02276">
      <w:pPr>
        <w:ind w:firstLine="0"/>
        <w:jc w:val="center"/>
        <w:rPr>
          <w:color w:val="000080"/>
        </w:rPr>
      </w:pPr>
    </w:p>
    <w:p w14:paraId="2A70D4EC" w14:textId="77777777" w:rsidR="00E02276" w:rsidRPr="00E07116" w:rsidRDefault="00637EC3" w:rsidP="00E02276">
      <w:pPr>
        <w:ind w:firstLine="0"/>
        <w:jc w:val="center"/>
      </w:pPr>
      <w:r>
        <w:rPr>
          <w:noProof/>
        </w:rPr>
        <w:drawing>
          <wp:inline distT="0" distB="0" distL="0" distR="0" wp14:anchorId="18910D96" wp14:editId="0FC2F8A7">
            <wp:extent cx="3476625" cy="5029200"/>
            <wp:effectExtent l="12700" t="12700" r="3175"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6625" cy="5029200"/>
                    </a:xfrm>
                    <a:prstGeom prst="rect">
                      <a:avLst/>
                    </a:prstGeom>
                    <a:noFill/>
                    <a:ln w="12700" cmpd="sng">
                      <a:solidFill>
                        <a:srgbClr val="000000"/>
                      </a:solidFill>
                      <a:miter lim="800000"/>
                      <a:headEnd/>
                      <a:tailEnd/>
                    </a:ln>
                    <a:effectLst/>
                  </pic:spPr>
                </pic:pic>
              </a:graphicData>
            </a:graphic>
          </wp:inline>
        </w:drawing>
      </w:r>
    </w:p>
    <w:p w14:paraId="45A518BB" w14:textId="77777777" w:rsidR="00E02276" w:rsidRDefault="00E02276" w:rsidP="00E02276">
      <w:pPr>
        <w:ind w:firstLine="0"/>
        <w:jc w:val="center"/>
      </w:pPr>
    </w:p>
    <w:p w14:paraId="69B2A435" w14:textId="77777777" w:rsidR="00E02276" w:rsidRPr="00D45CA6" w:rsidRDefault="00E02276" w:rsidP="00E02276">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2, 1980, pp. 10-11. Neuilly-sur-Seine : Centre de recherche sur la culture technique.</w:t>
      </w:r>
    </w:p>
    <w:p w14:paraId="05528323" w14:textId="77777777" w:rsidR="00E02276" w:rsidRPr="00E07116" w:rsidRDefault="00E02276" w:rsidP="00E02276">
      <w:pPr>
        <w:spacing w:before="120" w:after="120"/>
        <w:ind w:firstLine="0"/>
        <w:jc w:val="both"/>
      </w:pPr>
      <w:r w:rsidRPr="00E07116">
        <w:br w:type="page"/>
      </w:r>
    </w:p>
    <w:p w14:paraId="497D8F2F" w14:textId="77777777" w:rsidR="00E02276" w:rsidRPr="00E07116" w:rsidRDefault="00E02276" w:rsidP="00E02276">
      <w:pPr>
        <w:pStyle w:val="p"/>
      </w:pPr>
    </w:p>
    <w:p w14:paraId="70EAE420" w14:textId="77777777" w:rsidR="00E02276" w:rsidRPr="00E07116" w:rsidRDefault="00E02276">
      <w:pPr>
        <w:jc w:val="both"/>
      </w:pPr>
    </w:p>
    <w:p w14:paraId="7E3E8899" w14:textId="77777777" w:rsidR="00E02276" w:rsidRPr="00E07116" w:rsidRDefault="00E02276">
      <w:pPr>
        <w:jc w:val="both"/>
      </w:pPr>
    </w:p>
    <w:p w14:paraId="400B41DB" w14:textId="77777777" w:rsidR="00E02276" w:rsidRPr="00E07116" w:rsidRDefault="00E02276">
      <w:pPr>
        <w:jc w:val="both"/>
      </w:pPr>
    </w:p>
    <w:p w14:paraId="0AEA342C" w14:textId="77777777" w:rsidR="00E02276" w:rsidRPr="00E07116" w:rsidRDefault="00E02276" w:rsidP="00E0227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5E025A5" w14:textId="77777777" w:rsidR="00E02276" w:rsidRPr="00E07116" w:rsidRDefault="00E02276" w:rsidP="00E02276">
      <w:pPr>
        <w:pStyle w:val="NormalWeb"/>
        <w:spacing w:before="2" w:after="2"/>
        <w:jc w:val="both"/>
        <w:rPr>
          <w:rFonts w:ascii="Times New Roman" w:hAnsi="Times New Roman"/>
          <w:sz w:val="28"/>
        </w:rPr>
      </w:pPr>
    </w:p>
    <w:p w14:paraId="1311047C" w14:textId="77777777" w:rsidR="00E02276" w:rsidRPr="00E07116" w:rsidRDefault="00E02276" w:rsidP="00E0227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EE5BED9" w14:textId="77777777" w:rsidR="00E02276" w:rsidRPr="00E07116" w:rsidRDefault="00E02276" w:rsidP="00E02276">
      <w:pPr>
        <w:jc w:val="both"/>
        <w:rPr>
          <w:szCs w:val="19"/>
        </w:rPr>
      </w:pPr>
    </w:p>
    <w:p w14:paraId="1ED74E58" w14:textId="77777777" w:rsidR="00E02276" w:rsidRPr="00E07116" w:rsidRDefault="00E02276">
      <w:pPr>
        <w:jc w:val="both"/>
        <w:rPr>
          <w:szCs w:val="19"/>
        </w:rPr>
      </w:pPr>
    </w:p>
    <w:p w14:paraId="44E552B2" w14:textId="77777777" w:rsidR="00E02276" w:rsidRPr="00FF7434" w:rsidRDefault="00E02276" w:rsidP="00E02276">
      <w:pPr>
        <w:spacing w:before="120" w:after="120"/>
        <w:ind w:firstLine="0"/>
        <w:jc w:val="both"/>
        <w:rPr>
          <w:lang w:eastAsia="fr-FR" w:bidi="fr-FR"/>
        </w:rPr>
      </w:pPr>
      <w:r w:rsidRPr="00E07116">
        <w:br w:type="page"/>
      </w:r>
      <w:r w:rsidRPr="00FF7434">
        <w:rPr>
          <w:lang w:eastAsia="fr-FR" w:bidi="fr-FR"/>
        </w:rPr>
        <w:t>[</w:t>
      </w:r>
      <w:r>
        <w:rPr>
          <w:lang w:eastAsia="fr-FR" w:bidi="fr-FR"/>
        </w:rPr>
        <w:t>10</w:t>
      </w:r>
      <w:r w:rsidRPr="00FF7434">
        <w:rPr>
          <w:lang w:eastAsia="fr-FR" w:bidi="fr-FR"/>
        </w:rPr>
        <w:t>]</w:t>
      </w:r>
    </w:p>
    <w:p w14:paraId="2CA25081" w14:textId="77777777" w:rsidR="00E02276" w:rsidRPr="00E07116" w:rsidRDefault="00E02276" w:rsidP="00E02276">
      <w:pPr>
        <w:jc w:val="both"/>
      </w:pPr>
    </w:p>
    <w:p w14:paraId="69F73688" w14:textId="77777777" w:rsidR="00E02276" w:rsidRPr="00E07116" w:rsidRDefault="00E02276" w:rsidP="00E02276">
      <w:pPr>
        <w:jc w:val="both"/>
      </w:pPr>
    </w:p>
    <w:p w14:paraId="4BF3FF29" w14:textId="77777777" w:rsidR="00E02276" w:rsidRPr="0027562B" w:rsidRDefault="00E02276" w:rsidP="00E02276">
      <w:pPr>
        <w:ind w:firstLine="0"/>
        <w:jc w:val="center"/>
        <w:rPr>
          <w:b/>
          <w:sz w:val="36"/>
        </w:rPr>
      </w:pPr>
      <w:r>
        <w:rPr>
          <w:sz w:val="36"/>
        </w:rPr>
        <w:t>Jean AOUTIN</w:t>
      </w:r>
    </w:p>
    <w:p w14:paraId="6A90961E" w14:textId="77777777" w:rsidR="00E02276" w:rsidRPr="00E07116" w:rsidRDefault="00E02276" w:rsidP="00E02276">
      <w:pPr>
        <w:ind w:firstLine="0"/>
        <w:jc w:val="center"/>
      </w:pPr>
    </w:p>
    <w:p w14:paraId="47DBEF04" w14:textId="77777777" w:rsidR="00E02276" w:rsidRPr="00D45CA6" w:rsidRDefault="00E02276" w:rsidP="00E02276">
      <w:pPr>
        <w:ind w:firstLine="0"/>
        <w:jc w:val="center"/>
        <w:rPr>
          <w:color w:val="000080"/>
          <w:sz w:val="36"/>
        </w:rPr>
      </w:pPr>
      <w:r w:rsidRPr="0012782F">
        <w:rPr>
          <w:color w:val="000080"/>
          <w:sz w:val="36"/>
        </w:rPr>
        <w:t>“</w:t>
      </w:r>
      <w:r>
        <w:rPr>
          <w:color w:val="000080"/>
          <w:sz w:val="36"/>
        </w:rPr>
        <w:t>La machine décomposée.</w:t>
      </w:r>
      <w:r w:rsidRPr="0012782F">
        <w:rPr>
          <w:color w:val="000080"/>
          <w:sz w:val="36"/>
        </w:rPr>
        <w:t>”</w:t>
      </w:r>
    </w:p>
    <w:p w14:paraId="5B6D386E" w14:textId="77777777" w:rsidR="00E02276" w:rsidRDefault="00E02276" w:rsidP="00E02276">
      <w:pPr>
        <w:ind w:firstLine="0"/>
        <w:jc w:val="center"/>
      </w:pPr>
    </w:p>
    <w:p w14:paraId="081AB4D9" w14:textId="77777777" w:rsidR="00E02276" w:rsidRPr="00D45CA6" w:rsidRDefault="00E02276" w:rsidP="00E02276">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2, 1980, pp. 10-11. Neuilly-sur-Seine : Centre de recherche sur la culture technique.</w:t>
      </w:r>
    </w:p>
    <w:p w14:paraId="039896FE" w14:textId="77777777" w:rsidR="00E02276" w:rsidRPr="00463EB3" w:rsidRDefault="00E02276" w:rsidP="00E02276">
      <w:pPr>
        <w:jc w:val="both"/>
        <w:rPr>
          <w:b/>
        </w:rPr>
      </w:pPr>
    </w:p>
    <w:p w14:paraId="0FE53D8E" w14:textId="77777777" w:rsidR="00E02276" w:rsidRPr="00E07116" w:rsidRDefault="00E02276" w:rsidP="00E02276">
      <w:pPr>
        <w:jc w:val="both"/>
      </w:pPr>
    </w:p>
    <w:p w14:paraId="68773BA9" w14:textId="77777777" w:rsidR="00E02276" w:rsidRPr="00E07116" w:rsidRDefault="00E02276" w:rsidP="00E02276">
      <w:pPr>
        <w:jc w:val="both"/>
      </w:pPr>
    </w:p>
    <w:p w14:paraId="4138C2BF" w14:textId="77777777" w:rsidR="00E02276" w:rsidRPr="00E07116" w:rsidRDefault="00E02276" w:rsidP="00E02276">
      <w:pPr>
        <w:jc w:val="both"/>
      </w:pPr>
    </w:p>
    <w:p w14:paraId="3993F8FF" w14:textId="77777777" w:rsidR="00E02276" w:rsidRPr="008E4A86" w:rsidRDefault="00E02276" w:rsidP="00E02276">
      <w:pPr>
        <w:spacing w:before="120" w:after="120"/>
        <w:jc w:val="both"/>
      </w:pPr>
      <w:r w:rsidRPr="008E4A86">
        <w:rPr>
          <w:szCs w:val="18"/>
        </w:rPr>
        <w:t>La réaction des techniciens, comme en général, des personnes pr</w:t>
      </w:r>
      <w:r w:rsidRPr="008E4A86">
        <w:rPr>
          <w:szCs w:val="18"/>
        </w:rPr>
        <w:t>é</w:t>
      </w:r>
      <w:r w:rsidRPr="008E4A86">
        <w:rPr>
          <w:szCs w:val="18"/>
        </w:rPr>
        <w:t>occupées de la technique, est de considérer l'étude ou la sauvegarde d'une machine dans son aspect global.</w:t>
      </w:r>
    </w:p>
    <w:p w14:paraId="7CC41FC8" w14:textId="77777777" w:rsidR="00E02276" w:rsidRPr="008E4A86" w:rsidRDefault="00E02276" w:rsidP="00E02276">
      <w:pPr>
        <w:spacing w:before="120" w:after="120"/>
        <w:jc w:val="both"/>
      </w:pPr>
      <w:r w:rsidRPr="008E4A86">
        <w:rPr>
          <w:szCs w:val="18"/>
        </w:rPr>
        <w:t>Cependant, l'analyse d'un tel appareil, même peu élaboré, fait to</w:t>
      </w:r>
      <w:r w:rsidRPr="008E4A86">
        <w:rPr>
          <w:szCs w:val="18"/>
        </w:rPr>
        <w:t>u</w:t>
      </w:r>
      <w:r w:rsidRPr="008E4A86">
        <w:rPr>
          <w:szCs w:val="18"/>
        </w:rPr>
        <w:t>jours appel à des technologies dont celui-ci est une synthèse. En outre, il est intéressant de rechercher comment ses différents éléments ont été élaborés, par des entreprises pouvant avoir entre elles des liens financiers ou (et) de personnes, permettant ainsi d'observer des coh</w:t>
      </w:r>
      <w:r w:rsidRPr="008E4A86">
        <w:rPr>
          <w:szCs w:val="18"/>
        </w:rPr>
        <w:t>é</w:t>
      </w:r>
      <w:r w:rsidRPr="008E4A86">
        <w:rPr>
          <w:szCs w:val="18"/>
        </w:rPr>
        <w:t>rences à divers niveau.</w:t>
      </w:r>
    </w:p>
    <w:p w14:paraId="0B0430FF" w14:textId="77777777" w:rsidR="00E02276" w:rsidRPr="008E4A86" w:rsidRDefault="00E02276" w:rsidP="00E02276">
      <w:pPr>
        <w:spacing w:before="120" w:after="120"/>
        <w:jc w:val="both"/>
      </w:pPr>
      <w:r w:rsidRPr="008E4A86">
        <w:rPr>
          <w:szCs w:val="18"/>
        </w:rPr>
        <w:t>Nous avons choisi un cas bien typique, celui de l'autobus H de la Compagnie Générale des Omnibus qui est la première forme d'un v</w:t>
      </w:r>
      <w:r w:rsidRPr="008E4A86">
        <w:rPr>
          <w:szCs w:val="18"/>
        </w:rPr>
        <w:t>é</w:t>
      </w:r>
      <w:r w:rsidRPr="008E4A86">
        <w:rPr>
          <w:szCs w:val="18"/>
        </w:rPr>
        <w:t>hicule de cette sorte construit en série importante et standardisée, en outre, performant par rapport à ses objectifs, et interchangeable pour l'exploitation de lignes quelconques. En usage à Paris de 1916 à 1937, inusable, cet autobus a en outre circulé à Lyon, Marseille, Nice, entre autres.</w:t>
      </w:r>
    </w:p>
    <w:p w14:paraId="3AD86B7F" w14:textId="77777777" w:rsidR="00E02276" w:rsidRPr="008E4A86" w:rsidRDefault="00E02276" w:rsidP="00E02276">
      <w:pPr>
        <w:spacing w:before="120" w:after="120"/>
        <w:jc w:val="both"/>
      </w:pPr>
      <w:r w:rsidRPr="008E4A86">
        <w:rPr>
          <w:szCs w:val="18"/>
        </w:rPr>
        <w:t>A la suite de divers prototypes dont la carrosserie à impériale dér</w:t>
      </w:r>
      <w:r w:rsidRPr="008E4A86">
        <w:rPr>
          <w:szCs w:val="18"/>
        </w:rPr>
        <w:t>i</w:t>
      </w:r>
      <w:r w:rsidRPr="008E4A86">
        <w:rPr>
          <w:szCs w:val="18"/>
        </w:rPr>
        <w:t>vait directement de celle des tramways et des omnibus hippomobiles (type P2), la Compagnie des Omnibus dès 1911 (dans le but de mot</w:t>
      </w:r>
      <w:r w:rsidRPr="008E4A86">
        <w:rPr>
          <w:szCs w:val="18"/>
        </w:rPr>
        <w:t>o</w:t>
      </w:r>
      <w:r w:rsidRPr="008E4A86">
        <w:rPr>
          <w:szCs w:val="18"/>
        </w:rPr>
        <w:t>riser toutes les lignes d'omnibus) avait conçu et mis en service un a</w:t>
      </w:r>
      <w:r w:rsidRPr="008E4A86">
        <w:rPr>
          <w:szCs w:val="18"/>
        </w:rPr>
        <w:t>u</w:t>
      </w:r>
      <w:r w:rsidRPr="008E4A86">
        <w:rPr>
          <w:szCs w:val="18"/>
        </w:rPr>
        <w:t>tobus sans impériale. Le plus satisfaisant ayant été le type PB2 réalisé en collaboration avec Schneider &amp; Cie, il en fut dérivé le type</w:t>
      </w:r>
      <w:r>
        <w:rPr>
          <w:szCs w:val="18"/>
        </w:rPr>
        <w:t> </w:t>
      </w:r>
      <w:r w:rsidRPr="008E4A86">
        <w:rPr>
          <w:szCs w:val="18"/>
        </w:rPr>
        <w:t>H.</w:t>
      </w:r>
    </w:p>
    <w:p w14:paraId="1BA0BE35" w14:textId="77777777" w:rsidR="00E02276" w:rsidRPr="008E4A86" w:rsidRDefault="00E02276" w:rsidP="00E02276">
      <w:pPr>
        <w:spacing w:before="120" w:after="120"/>
        <w:jc w:val="both"/>
      </w:pPr>
      <w:r w:rsidRPr="008E4A86">
        <w:rPr>
          <w:szCs w:val="18"/>
        </w:rPr>
        <w:t>Quelques données technologiques permettent de comprendre le r</w:t>
      </w:r>
      <w:r w:rsidRPr="008E4A86">
        <w:rPr>
          <w:szCs w:val="18"/>
        </w:rPr>
        <w:t>ô</w:t>
      </w:r>
      <w:r w:rsidRPr="008E4A86">
        <w:rPr>
          <w:szCs w:val="18"/>
        </w:rPr>
        <w:t>le de ce véhicule (type H) :</w:t>
      </w:r>
    </w:p>
    <w:p w14:paraId="00ADAD48" w14:textId="77777777" w:rsidR="00E02276" w:rsidRDefault="00E02276" w:rsidP="00E02276">
      <w:pPr>
        <w:spacing w:before="120" w:after="120"/>
        <w:ind w:left="720" w:hanging="360"/>
        <w:jc w:val="both"/>
        <w:rPr>
          <w:szCs w:val="18"/>
        </w:rPr>
      </w:pPr>
    </w:p>
    <w:p w14:paraId="21DD5536"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moteur 4 temps, essence, benzol ou carburant naturel (benzol 50%, alcool absolu 50%) 22/34 ch à 1000 t./minute les cyli</w:t>
      </w:r>
      <w:r w:rsidRPr="008E4A86">
        <w:rPr>
          <w:szCs w:val="18"/>
        </w:rPr>
        <w:t>n</w:t>
      </w:r>
      <w:r w:rsidRPr="008E4A86">
        <w:rPr>
          <w:szCs w:val="18"/>
        </w:rPr>
        <w:t>dres fo</w:t>
      </w:r>
      <w:r w:rsidRPr="008E4A86">
        <w:rPr>
          <w:szCs w:val="18"/>
        </w:rPr>
        <w:t>n</w:t>
      </w:r>
      <w:r w:rsidRPr="008E4A86">
        <w:rPr>
          <w:szCs w:val="18"/>
        </w:rPr>
        <w:t>dus séparément permettent l'échange standard. Plus pompe à huile, plus pompe de circulation d'eau, plus magnéto (allumage), plus dyn</w:t>
      </w:r>
      <w:r w:rsidRPr="008E4A86">
        <w:rPr>
          <w:szCs w:val="18"/>
        </w:rPr>
        <w:t>a</w:t>
      </w:r>
      <w:r w:rsidRPr="008E4A86">
        <w:rPr>
          <w:szCs w:val="18"/>
        </w:rPr>
        <w:t>mo d'éclairage.</w:t>
      </w:r>
    </w:p>
    <w:p w14:paraId="431AB8FB"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carburateur (Solex)</w:t>
      </w:r>
    </w:p>
    <w:p w14:paraId="73375BA5"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radiateur (Goudard et Mennesson puis Solex - identique à celui des PB2) avec ventilateur (courroie) comportant un croisillon en al</w:t>
      </w:r>
      <w:r w:rsidRPr="008E4A86">
        <w:rPr>
          <w:szCs w:val="18"/>
        </w:rPr>
        <w:t>u</w:t>
      </w:r>
      <w:r w:rsidRPr="008E4A86">
        <w:rPr>
          <w:szCs w:val="18"/>
        </w:rPr>
        <w:t>minium à l'avant, supportant un palier du ventilateur.</w:t>
      </w:r>
    </w:p>
    <w:p w14:paraId="2DC3C506"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réservoir de 120 litres sous le siège du chauffeur.</w:t>
      </w:r>
    </w:p>
    <w:p w14:paraId="4A6A493A"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mise en marche par une manivelle à déclenchement automat</w:t>
      </w:r>
      <w:r w:rsidRPr="008E4A86">
        <w:rPr>
          <w:szCs w:val="18"/>
        </w:rPr>
        <w:t>i</w:t>
      </w:r>
      <w:r w:rsidRPr="008E4A86">
        <w:rPr>
          <w:szCs w:val="18"/>
        </w:rPr>
        <w:t>que.</w:t>
      </w:r>
    </w:p>
    <w:p w14:paraId="6A880BF0"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Embrayage Hele-Schaw (friction de disques) Rapports :</w:t>
      </w:r>
    </w:p>
    <w:p w14:paraId="003ED62D" w14:textId="77777777" w:rsidR="00E02276" w:rsidRPr="008E4A86" w:rsidRDefault="00E02276" w:rsidP="00E02276">
      <w:pPr>
        <w:spacing w:before="120" w:after="120"/>
        <w:ind w:left="720" w:hanging="360"/>
        <w:jc w:val="both"/>
      </w:pPr>
      <w:r w:rsidRPr="00637EC3">
        <w:rPr>
          <w:iCs/>
          <w:szCs w:val="18"/>
        </w:rPr>
        <w:tab/>
        <w:t>1</w:t>
      </w:r>
      <w:r w:rsidRPr="00637EC3">
        <w:rPr>
          <w:iCs/>
          <w:szCs w:val="18"/>
          <w:vertAlign w:val="superscript"/>
        </w:rPr>
        <w:t>e</w:t>
      </w:r>
      <w:r w:rsidRPr="00637EC3">
        <w:rPr>
          <w:i/>
          <w:iCs/>
          <w:szCs w:val="18"/>
        </w:rPr>
        <w:t xml:space="preserve"> </w:t>
      </w:r>
      <w:r w:rsidRPr="008E4A86">
        <w:rPr>
          <w:szCs w:val="18"/>
        </w:rPr>
        <w:t>vitesse : 28,6/100, 2</w:t>
      </w:r>
      <w:r>
        <w:rPr>
          <w:szCs w:val="18"/>
          <w:vertAlign w:val="superscript"/>
        </w:rPr>
        <w:t>è</w:t>
      </w:r>
      <w:r w:rsidRPr="008E4A86">
        <w:rPr>
          <w:szCs w:val="18"/>
          <w:vertAlign w:val="superscript"/>
        </w:rPr>
        <w:t>me</w:t>
      </w:r>
      <w:r w:rsidRPr="008E4A86">
        <w:rPr>
          <w:szCs w:val="18"/>
        </w:rPr>
        <w:t xml:space="preserve"> vitesse : 56,5/100, 3</w:t>
      </w:r>
      <w:r>
        <w:rPr>
          <w:szCs w:val="18"/>
          <w:vertAlign w:val="superscript"/>
        </w:rPr>
        <w:t>è</w:t>
      </w:r>
      <w:r w:rsidRPr="008E4A86">
        <w:rPr>
          <w:szCs w:val="18"/>
          <w:vertAlign w:val="superscript"/>
        </w:rPr>
        <w:t>me</w:t>
      </w:r>
      <w:r w:rsidRPr="008E4A86">
        <w:rPr>
          <w:szCs w:val="18"/>
        </w:rPr>
        <w:t xml:space="preserve"> vitesse : prise d</w:t>
      </w:r>
      <w:r w:rsidRPr="008E4A86">
        <w:rPr>
          <w:szCs w:val="18"/>
        </w:rPr>
        <w:t>i</w:t>
      </w:r>
      <w:r w:rsidRPr="008E4A86">
        <w:rPr>
          <w:szCs w:val="18"/>
        </w:rPr>
        <w:t>recte, marche arrière 22,1/100.</w:t>
      </w:r>
    </w:p>
    <w:p w14:paraId="05AB239D"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arbre de transmission à deux cardans.</w:t>
      </w:r>
    </w:p>
    <w:p w14:paraId="1181F869"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giration moyenne de l'extrémité arrière : 8,560m.</w:t>
      </w:r>
    </w:p>
    <w:p w14:paraId="422382BC" w14:textId="77777777" w:rsidR="00E02276" w:rsidRPr="008E4A86" w:rsidRDefault="00E02276" w:rsidP="00E02276">
      <w:pPr>
        <w:spacing w:before="120" w:after="120"/>
        <w:ind w:left="720" w:hanging="360"/>
        <w:jc w:val="both"/>
        <w:rPr>
          <w:szCs w:val="18"/>
        </w:rPr>
      </w:pPr>
      <w:r>
        <w:rPr>
          <w:szCs w:val="18"/>
        </w:rPr>
        <w:t xml:space="preserve"> -</w:t>
      </w:r>
      <w:r>
        <w:rPr>
          <w:szCs w:val="18"/>
        </w:rPr>
        <w:tab/>
      </w:r>
      <w:r w:rsidRPr="008E4A86">
        <w:rPr>
          <w:szCs w:val="18"/>
        </w:rPr>
        <w:t>châssis en tôle profilée (longerons, entretoises, goussets).</w:t>
      </w:r>
    </w:p>
    <w:p w14:paraId="675B4EDB"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 xml:space="preserve">carrosserie de type unique - poids 1800 kg - 16 places en </w:t>
      </w:r>
      <w:r>
        <w:rPr>
          <w:szCs w:val="18"/>
        </w:rPr>
        <w:t>1</w:t>
      </w:r>
      <w:r>
        <w:rPr>
          <w:szCs w:val="18"/>
          <w:vertAlign w:val="superscript"/>
        </w:rPr>
        <w:t>è</w:t>
      </w:r>
      <w:r w:rsidRPr="008E4A86">
        <w:rPr>
          <w:szCs w:val="18"/>
          <w:vertAlign w:val="superscript"/>
        </w:rPr>
        <w:t>re</w:t>
      </w:r>
      <w:r w:rsidRPr="008E4A86">
        <w:rPr>
          <w:szCs w:val="18"/>
        </w:rPr>
        <w:t xml:space="preserve"> classe, plus 12 places assises et 10 places de plateforme (2</w:t>
      </w:r>
      <w:r>
        <w:rPr>
          <w:szCs w:val="18"/>
          <w:vertAlign w:val="superscript"/>
        </w:rPr>
        <w:t>è</w:t>
      </w:r>
      <w:r w:rsidRPr="008E4A86">
        <w:rPr>
          <w:szCs w:val="18"/>
          <w:vertAlign w:val="superscript"/>
        </w:rPr>
        <w:t>me</w:t>
      </w:r>
      <w:r w:rsidRPr="008E4A86">
        <w:rPr>
          <w:szCs w:val="18"/>
        </w:rPr>
        <w:t xml:space="preserve"> classe) ; panneaux intérieurs en contreplaqué sur une charpente en bois asse</w:t>
      </w:r>
      <w:r w:rsidRPr="008E4A86">
        <w:rPr>
          <w:szCs w:val="18"/>
        </w:rPr>
        <w:t>m</w:t>
      </w:r>
      <w:r w:rsidRPr="008E4A86">
        <w:rPr>
          <w:szCs w:val="18"/>
        </w:rPr>
        <w:t>blé ; plateforme arrière surbaissée, accès par une marche. En outre, indication de lignes interchangeable.</w:t>
      </w:r>
    </w:p>
    <w:p w14:paraId="34ED26F0" w14:textId="77777777" w:rsidR="00E02276" w:rsidRDefault="00E02276" w:rsidP="00E02276">
      <w:pPr>
        <w:spacing w:before="120" w:after="120"/>
        <w:jc w:val="both"/>
        <w:rPr>
          <w:szCs w:val="18"/>
        </w:rPr>
      </w:pPr>
    </w:p>
    <w:p w14:paraId="08FB96F0" w14:textId="77777777" w:rsidR="00E02276" w:rsidRPr="008E4A86" w:rsidRDefault="00E02276" w:rsidP="00E02276">
      <w:pPr>
        <w:spacing w:before="120" w:after="120"/>
        <w:jc w:val="both"/>
      </w:pPr>
      <w:r w:rsidRPr="008E4A86">
        <w:rPr>
          <w:szCs w:val="18"/>
        </w:rPr>
        <w:t>L'omnibus à 6 roues poss</w:t>
      </w:r>
      <w:r>
        <w:rPr>
          <w:szCs w:val="18"/>
        </w:rPr>
        <w:t>ède 48 places :</w:t>
      </w:r>
      <w:r w:rsidRPr="008E4A86">
        <w:rPr>
          <w:szCs w:val="18"/>
        </w:rPr>
        <w:t xml:space="preserve"> seules les roues médianes sont motrices. Les roues des deux types ont un diamètre de 950mm : roues avant à bandage simple, roues </w:t>
      </w:r>
      <w:proofErr w:type="gramStart"/>
      <w:r w:rsidRPr="008E4A86">
        <w:rPr>
          <w:szCs w:val="18"/>
        </w:rPr>
        <w:t>arrières</w:t>
      </w:r>
      <w:proofErr w:type="gramEnd"/>
      <w:r w:rsidRPr="008E4A86">
        <w:rPr>
          <w:szCs w:val="18"/>
        </w:rPr>
        <w:t xml:space="preserve"> à bandage double (dans le cas des omnibus à 6 roues, les roues médianes à bandage double, les roues arrières à bandage simple). Quelques remarques :</w:t>
      </w:r>
    </w:p>
    <w:p w14:paraId="36DA2F2F" w14:textId="77777777" w:rsidR="00E02276" w:rsidRDefault="00E02276" w:rsidP="00E02276">
      <w:pPr>
        <w:spacing w:before="120" w:after="120"/>
        <w:jc w:val="both"/>
        <w:rPr>
          <w:szCs w:val="18"/>
        </w:rPr>
      </w:pPr>
    </w:p>
    <w:p w14:paraId="6B50E82D" w14:textId="77777777" w:rsidR="00E02276" w:rsidRPr="008E4A86" w:rsidRDefault="00E02276" w:rsidP="00E02276">
      <w:pPr>
        <w:spacing w:before="120" w:after="120"/>
        <w:ind w:left="720" w:hanging="360"/>
        <w:jc w:val="both"/>
        <w:rPr>
          <w:szCs w:val="18"/>
        </w:rPr>
      </w:pPr>
      <w:r>
        <w:rPr>
          <w:szCs w:val="18"/>
        </w:rPr>
        <w:t>-</w:t>
      </w:r>
      <w:r>
        <w:rPr>
          <w:szCs w:val="18"/>
        </w:rPr>
        <w:tab/>
      </w:r>
      <w:r w:rsidRPr="008E4A86">
        <w:rPr>
          <w:szCs w:val="18"/>
        </w:rPr>
        <w:t>L'utilisation du carburant national : la Compagnie Générale des Omnibus (et son successeur, la Société des Transports en Commun de la région Parisienne), fut à notre avis, la seule e</w:t>
      </w:r>
      <w:r w:rsidRPr="008E4A86">
        <w:rPr>
          <w:szCs w:val="18"/>
        </w:rPr>
        <w:t>n</w:t>
      </w:r>
      <w:r w:rsidRPr="008E4A86">
        <w:rPr>
          <w:szCs w:val="18"/>
        </w:rPr>
        <w:t>treprise autorisée à utiliser un mélange sans essence, dont la vente était interdite dans le commerce.</w:t>
      </w:r>
    </w:p>
    <w:p w14:paraId="19E7F8D7" w14:textId="77777777" w:rsidR="00E02276" w:rsidRDefault="00E02276" w:rsidP="00E02276">
      <w:pPr>
        <w:spacing w:before="120" w:after="120"/>
        <w:ind w:left="720" w:hanging="360"/>
        <w:jc w:val="both"/>
        <w:rPr>
          <w:szCs w:val="18"/>
        </w:rPr>
      </w:pPr>
      <w:r>
        <w:rPr>
          <w:szCs w:val="18"/>
        </w:rPr>
        <w:t>-</w:t>
      </w:r>
      <w:r>
        <w:rPr>
          <w:szCs w:val="18"/>
        </w:rPr>
        <w:tab/>
      </w:r>
      <w:r w:rsidRPr="008E4A86">
        <w:rPr>
          <w:szCs w:val="18"/>
        </w:rPr>
        <w:t xml:space="preserve">Le concepteur de l'ensemble du véhicule fut </w:t>
      </w:r>
      <w:proofErr w:type="gramStart"/>
      <w:r w:rsidRPr="008E4A86">
        <w:rPr>
          <w:szCs w:val="18"/>
        </w:rPr>
        <w:t>la dite</w:t>
      </w:r>
      <w:proofErr w:type="gramEnd"/>
      <w:r w:rsidRPr="008E4A86">
        <w:rPr>
          <w:szCs w:val="18"/>
        </w:rPr>
        <w:t xml:space="preserve"> compagnie qui construisit ses propres carrosseries (sur le même principe que ce</w:t>
      </w:r>
      <w:r w:rsidRPr="008E4A86">
        <w:rPr>
          <w:szCs w:val="18"/>
        </w:rPr>
        <w:t>l</w:t>
      </w:r>
      <w:r w:rsidRPr="008E4A86">
        <w:rPr>
          <w:szCs w:val="18"/>
        </w:rPr>
        <w:t>les des tramways).</w:t>
      </w:r>
    </w:p>
    <w:p w14:paraId="7342188F" w14:textId="77777777" w:rsidR="00E02276" w:rsidRDefault="00E02276" w:rsidP="00E02276">
      <w:pPr>
        <w:spacing w:before="120" w:after="120"/>
        <w:jc w:val="both"/>
        <w:rPr>
          <w:szCs w:val="18"/>
        </w:rPr>
      </w:pPr>
    </w:p>
    <w:p w14:paraId="49B51897" w14:textId="77777777" w:rsidR="00E02276" w:rsidRPr="008E4A86" w:rsidRDefault="00E02276" w:rsidP="00E02276">
      <w:pPr>
        <w:spacing w:before="120" w:after="120"/>
        <w:jc w:val="both"/>
        <w:rPr>
          <w:szCs w:val="18"/>
        </w:rPr>
      </w:pPr>
      <w:r w:rsidRPr="008E4A86">
        <w:rPr>
          <w:szCs w:val="18"/>
        </w:rPr>
        <w:t>L'impossibilité d'obtenir des aciers résistants, suffisamment légers limita la longueur utile à 3 1/2 fenêtres plus une plateforme.</w:t>
      </w:r>
    </w:p>
    <w:p w14:paraId="437D2F66" w14:textId="77777777" w:rsidR="00E02276" w:rsidRPr="008E4A86" w:rsidRDefault="00E02276" w:rsidP="00E02276">
      <w:pPr>
        <w:spacing w:before="120" w:after="120"/>
        <w:jc w:val="both"/>
      </w:pPr>
      <w:r w:rsidRPr="008E4A86">
        <w:rPr>
          <w:szCs w:val="18"/>
        </w:rPr>
        <w:t>Le châssis, très classique des années 1905/1910 est formé de</w:t>
      </w:r>
      <w:r>
        <w:rPr>
          <w:szCs w:val="18"/>
        </w:rPr>
        <w:t xml:space="preserve"> </w:t>
      </w:r>
      <w:r w:rsidRPr="008E4A86">
        <w:rPr>
          <w:szCs w:val="18"/>
        </w:rPr>
        <w:t>lo</w:t>
      </w:r>
      <w:r w:rsidRPr="008E4A86">
        <w:rPr>
          <w:szCs w:val="18"/>
        </w:rPr>
        <w:t>n</w:t>
      </w:r>
      <w:r w:rsidRPr="008E4A86">
        <w:rPr>
          <w:szCs w:val="18"/>
        </w:rPr>
        <w:t>gerons,</w:t>
      </w:r>
      <w:r>
        <w:rPr>
          <w:szCs w:val="18"/>
        </w:rPr>
        <w:t xml:space="preserve"> </w:t>
      </w:r>
      <w:r w:rsidRPr="008E4A86">
        <w:rPr>
          <w:szCs w:val="18"/>
        </w:rPr>
        <w:t>d'entretoises</w:t>
      </w:r>
      <w:r>
        <w:rPr>
          <w:szCs w:val="18"/>
        </w:rPr>
        <w:t xml:space="preserve"> </w:t>
      </w:r>
      <w:r w:rsidRPr="008E4A86">
        <w:rPr>
          <w:szCs w:val="18"/>
        </w:rPr>
        <w:t>(et</w:t>
      </w:r>
      <w:r>
        <w:rPr>
          <w:szCs w:val="18"/>
        </w:rPr>
        <w:t xml:space="preserve"> </w:t>
      </w:r>
      <w:r w:rsidRPr="008E4A86">
        <w:rPr>
          <w:szCs w:val="18"/>
        </w:rPr>
        <w:t>de goussets empêchant les</w:t>
      </w:r>
      <w:r>
        <w:rPr>
          <w:szCs w:val="18"/>
        </w:rPr>
        <w:t xml:space="preserve"> </w:t>
      </w:r>
      <w:r w:rsidRPr="008E4A86">
        <w:rPr>
          <w:szCs w:val="18"/>
        </w:rPr>
        <w:t>déformations hor</w:t>
      </w:r>
      <w:r w:rsidRPr="008E4A86">
        <w:rPr>
          <w:szCs w:val="18"/>
        </w:rPr>
        <w:t>i</w:t>
      </w:r>
      <w:r w:rsidRPr="008E4A86">
        <w:rPr>
          <w:szCs w:val="18"/>
        </w:rPr>
        <w:t>zontales).</w:t>
      </w:r>
    </w:p>
    <w:p w14:paraId="34902E07" w14:textId="77777777" w:rsidR="00E02276" w:rsidRPr="008E4A86" w:rsidRDefault="00E02276" w:rsidP="00E02276">
      <w:pPr>
        <w:spacing w:before="120" w:after="120"/>
        <w:jc w:val="both"/>
      </w:pPr>
      <w:r w:rsidRPr="008E4A86">
        <w:rPr>
          <w:szCs w:val="18"/>
        </w:rPr>
        <w:t>Divers</w:t>
      </w:r>
      <w:r>
        <w:rPr>
          <w:szCs w:val="18"/>
        </w:rPr>
        <w:t xml:space="preserve"> </w:t>
      </w:r>
      <w:r w:rsidRPr="008E4A86">
        <w:rPr>
          <w:szCs w:val="18"/>
        </w:rPr>
        <w:t>constructeurs auraient</w:t>
      </w:r>
      <w:r>
        <w:rPr>
          <w:szCs w:val="18"/>
        </w:rPr>
        <w:t xml:space="preserve"> </w:t>
      </w:r>
      <w:r w:rsidRPr="008E4A86">
        <w:rPr>
          <w:szCs w:val="18"/>
        </w:rPr>
        <w:t>fourni</w:t>
      </w:r>
      <w:r>
        <w:rPr>
          <w:szCs w:val="18"/>
        </w:rPr>
        <w:t xml:space="preserve"> </w:t>
      </w:r>
      <w:r w:rsidRPr="008E4A86">
        <w:rPr>
          <w:szCs w:val="18"/>
        </w:rPr>
        <w:t>des</w:t>
      </w:r>
      <w:r>
        <w:rPr>
          <w:szCs w:val="18"/>
        </w:rPr>
        <w:t xml:space="preserve"> </w:t>
      </w:r>
      <w:r w:rsidRPr="008E4A86">
        <w:rPr>
          <w:szCs w:val="18"/>
        </w:rPr>
        <w:t>moteurs à la</w:t>
      </w:r>
      <w:r>
        <w:rPr>
          <w:szCs w:val="18"/>
        </w:rPr>
        <w:t xml:space="preserve"> </w:t>
      </w:r>
      <w:r w:rsidRPr="008E4A86">
        <w:rPr>
          <w:szCs w:val="18"/>
        </w:rPr>
        <w:t>Compagnie Générale des Omnibus (de Dion Brillié, Brillié</w:t>
      </w:r>
      <w:r>
        <w:rPr>
          <w:szCs w:val="18"/>
        </w:rPr>
        <w:t xml:space="preserve"> </w:t>
      </w:r>
      <w:r w:rsidRPr="008E4A86">
        <w:rPr>
          <w:szCs w:val="18"/>
        </w:rPr>
        <w:t>Schneider).</w:t>
      </w:r>
    </w:p>
    <w:p w14:paraId="1A429172" w14:textId="77777777" w:rsidR="00E02276" w:rsidRPr="008E4A86" w:rsidRDefault="00E02276" w:rsidP="00E02276">
      <w:pPr>
        <w:spacing w:before="120" w:after="120"/>
        <w:jc w:val="both"/>
      </w:pPr>
      <w:r w:rsidRPr="008E4A86">
        <w:rPr>
          <w:szCs w:val="18"/>
        </w:rPr>
        <w:t>Le moteur H est dérivé du dernier de ces types ; il est réalisé</w:t>
      </w:r>
      <w:r>
        <w:rPr>
          <w:szCs w:val="18"/>
        </w:rPr>
        <w:t xml:space="preserve"> </w:t>
      </w:r>
      <w:r w:rsidRPr="008E4A86">
        <w:rPr>
          <w:szCs w:val="18"/>
        </w:rPr>
        <w:t>d'abord par Schneider &amp; Cie, puis par la SCEMIA (Société</w:t>
      </w:r>
      <w:r>
        <w:rPr>
          <w:szCs w:val="18"/>
        </w:rPr>
        <w:t xml:space="preserve"> </w:t>
      </w:r>
      <w:r w:rsidRPr="008E4A86">
        <w:rPr>
          <w:szCs w:val="18"/>
        </w:rPr>
        <w:t>de con</w:t>
      </w:r>
      <w:r w:rsidRPr="008E4A86">
        <w:rPr>
          <w:szCs w:val="18"/>
        </w:rPr>
        <w:t>s</w:t>
      </w:r>
      <w:r w:rsidRPr="008E4A86">
        <w:rPr>
          <w:szCs w:val="18"/>
        </w:rPr>
        <w:t>truction et d'entretien de matériel industriel et</w:t>
      </w:r>
      <w:r>
        <w:rPr>
          <w:szCs w:val="18"/>
        </w:rPr>
        <w:t xml:space="preserve"> </w:t>
      </w:r>
      <w:r w:rsidRPr="008E4A86">
        <w:rPr>
          <w:szCs w:val="18"/>
        </w:rPr>
        <w:t>agricole), et il faut a</w:t>
      </w:r>
      <w:r w:rsidRPr="008E4A86">
        <w:rPr>
          <w:szCs w:val="18"/>
        </w:rPr>
        <w:t>t</w:t>
      </w:r>
      <w:r w:rsidRPr="008E4A86">
        <w:rPr>
          <w:szCs w:val="18"/>
        </w:rPr>
        <w:t>tendre 1927 pour que Renault conçoive</w:t>
      </w:r>
      <w:r>
        <w:rPr>
          <w:szCs w:val="18"/>
        </w:rPr>
        <w:t xml:space="preserve"> </w:t>
      </w:r>
      <w:r w:rsidRPr="008E4A86">
        <w:rPr>
          <w:szCs w:val="18"/>
        </w:rPr>
        <w:t>un</w:t>
      </w:r>
      <w:r>
        <w:rPr>
          <w:szCs w:val="18"/>
        </w:rPr>
        <w:t xml:space="preserve"> </w:t>
      </w:r>
      <w:r w:rsidRPr="008E4A86">
        <w:rPr>
          <w:szCs w:val="18"/>
        </w:rPr>
        <w:t>autobus</w:t>
      </w:r>
      <w:r>
        <w:rPr>
          <w:szCs w:val="18"/>
        </w:rPr>
        <w:t xml:space="preserve"> </w:t>
      </w:r>
      <w:r w:rsidRPr="008E4A86">
        <w:rPr>
          <w:szCs w:val="18"/>
        </w:rPr>
        <w:t>parisien,</w:t>
      </w:r>
      <w:r>
        <w:rPr>
          <w:szCs w:val="18"/>
        </w:rPr>
        <w:t xml:space="preserve"> </w:t>
      </w:r>
      <w:r w:rsidRPr="008E4A86">
        <w:rPr>
          <w:szCs w:val="18"/>
        </w:rPr>
        <w:t>alors</w:t>
      </w:r>
      <w:r>
        <w:rPr>
          <w:szCs w:val="18"/>
        </w:rPr>
        <w:t xml:space="preserve"> </w:t>
      </w:r>
      <w:r w:rsidRPr="008E4A86">
        <w:rPr>
          <w:szCs w:val="18"/>
        </w:rPr>
        <w:t>que</w:t>
      </w:r>
      <w:r>
        <w:rPr>
          <w:szCs w:val="18"/>
        </w:rPr>
        <w:t xml:space="preserve"> </w:t>
      </w:r>
      <w:r w:rsidRPr="008E4A86">
        <w:rPr>
          <w:szCs w:val="18"/>
        </w:rPr>
        <w:t>cette</w:t>
      </w:r>
      <w:r>
        <w:rPr>
          <w:szCs w:val="18"/>
        </w:rPr>
        <w:t xml:space="preserve"> </w:t>
      </w:r>
      <w:r w:rsidRPr="008E4A86">
        <w:rPr>
          <w:szCs w:val="18"/>
        </w:rPr>
        <w:t>entreprise</w:t>
      </w:r>
      <w:r>
        <w:rPr>
          <w:szCs w:val="18"/>
        </w:rPr>
        <w:t xml:space="preserve"> </w:t>
      </w:r>
      <w:r w:rsidRPr="008E4A86">
        <w:rPr>
          <w:szCs w:val="18"/>
        </w:rPr>
        <w:t>en</w:t>
      </w:r>
      <w:r>
        <w:rPr>
          <w:szCs w:val="18"/>
        </w:rPr>
        <w:t xml:space="preserve"> </w:t>
      </w:r>
      <w:r w:rsidRPr="008E4A86">
        <w:rPr>
          <w:szCs w:val="18"/>
        </w:rPr>
        <w:t>construisait déjà sur son châssis 5 t équipé de pneumatiques</w:t>
      </w:r>
      <w:r>
        <w:rPr>
          <w:szCs w:val="18"/>
        </w:rPr>
        <w:t xml:space="preserve"> </w:t>
      </w:r>
      <w:r w:rsidRPr="008E4A86">
        <w:rPr>
          <w:szCs w:val="18"/>
        </w:rPr>
        <w:t>pour la province et la banlieue.</w:t>
      </w:r>
    </w:p>
    <w:p w14:paraId="06D28029" w14:textId="77777777" w:rsidR="00E02276" w:rsidRPr="008E4A86" w:rsidRDefault="00E02276" w:rsidP="00E02276">
      <w:pPr>
        <w:spacing w:before="120" w:after="120"/>
        <w:jc w:val="both"/>
      </w:pPr>
      <w:r w:rsidRPr="008E4A86">
        <w:rPr>
          <w:szCs w:val="18"/>
        </w:rPr>
        <w:t>Par suite de données spécifiques au cahier des charges de la</w:t>
      </w:r>
      <w:r>
        <w:rPr>
          <w:szCs w:val="18"/>
        </w:rPr>
        <w:t xml:space="preserve"> </w:t>
      </w:r>
      <w:r w:rsidRPr="008E4A86">
        <w:rPr>
          <w:szCs w:val="18"/>
        </w:rPr>
        <w:t>capit</w:t>
      </w:r>
      <w:r w:rsidRPr="008E4A86">
        <w:rPr>
          <w:szCs w:val="18"/>
        </w:rPr>
        <w:t>a</w:t>
      </w:r>
      <w:r w:rsidRPr="008E4A86">
        <w:rPr>
          <w:szCs w:val="18"/>
        </w:rPr>
        <w:t>le, cette firme fut conduite à disposer un moteur sur le</w:t>
      </w:r>
      <w:r>
        <w:rPr>
          <w:szCs w:val="18"/>
        </w:rPr>
        <w:t xml:space="preserve"> </w:t>
      </w:r>
      <w:r>
        <w:rPr>
          <w:spacing w:val="-10"/>
          <w:szCs w:val="18"/>
        </w:rPr>
        <w:t xml:space="preserve">[11] </w:t>
      </w:r>
      <w:r w:rsidRPr="008E4A86">
        <w:rPr>
          <w:szCs w:val="18"/>
        </w:rPr>
        <w:t>châssis H, en conservant l'usage des bandages pleins (type PN). Cependant, R</w:t>
      </w:r>
      <w:r w:rsidRPr="008E4A86">
        <w:rPr>
          <w:szCs w:val="18"/>
        </w:rPr>
        <w:t>e</w:t>
      </w:r>
      <w:r w:rsidRPr="008E4A86">
        <w:rPr>
          <w:szCs w:val="18"/>
        </w:rPr>
        <w:t>nault appliqua ici son sy</w:t>
      </w:r>
      <w:r>
        <w:rPr>
          <w:szCs w:val="18"/>
        </w:rPr>
        <w:t>s</w:t>
      </w:r>
      <w:r w:rsidRPr="008E4A86">
        <w:rPr>
          <w:szCs w:val="18"/>
        </w:rPr>
        <w:t>tème de thermo-siphon avec radiateur à l'a</w:t>
      </w:r>
      <w:r w:rsidRPr="008E4A86">
        <w:rPr>
          <w:szCs w:val="18"/>
        </w:rPr>
        <w:t>r</w:t>
      </w:r>
      <w:r w:rsidRPr="008E4A86">
        <w:rPr>
          <w:szCs w:val="18"/>
        </w:rPr>
        <w:t>rière du moteur, ici, le radiateur n'étant pas dans l'axe, mais sur le côté droit, par suite de la position du siège du conducteur. Dans la suite, Renault construira l'essentiel des autobus de la STCRP (cf supra) avec amélioration du moteur (4 puis 6 cylindres)</w:t>
      </w:r>
      <w:r>
        <w:rPr>
          <w:szCs w:val="18"/>
        </w:rPr>
        <w:t xml:space="preserve"> </w:t>
      </w:r>
      <w:r w:rsidRPr="008E4A86">
        <w:rPr>
          <w:szCs w:val="18"/>
        </w:rPr>
        <w:t>et</w:t>
      </w:r>
      <w:r>
        <w:rPr>
          <w:szCs w:val="18"/>
        </w:rPr>
        <w:t xml:space="preserve"> </w:t>
      </w:r>
      <w:r w:rsidRPr="008E4A86">
        <w:rPr>
          <w:szCs w:val="18"/>
        </w:rPr>
        <w:t>des</w:t>
      </w:r>
      <w:r>
        <w:rPr>
          <w:szCs w:val="18"/>
        </w:rPr>
        <w:t xml:space="preserve"> </w:t>
      </w:r>
      <w:r w:rsidRPr="008E4A86">
        <w:rPr>
          <w:szCs w:val="18"/>
        </w:rPr>
        <w:t>performances,</w:t>
      </w:r>
      <w:r>
        <w:rPr>
          <w:szCs w:val="18"/>
        </w:rPr>
        <w:t xml:space="preserve"> </w:t>
      </w:r>
      <w:r w:rsidRPr="008E4A86">
        <w:rPr>
          <w:szCs w:val="18"/>
        </w:rPr>
        <w:t>a</w:t>
      </w:r>
      <w:r w:rsidRPr="008E4A86">
        <w:rPr>
          <w:szCs w:val="18"/>
        </w:rPr>
        <w:t>l</w:t>
      </w:r>
      <w:r w:rsidRPr="008E4A86">
        <w:rPr>
          <w:szCs w:val="18"/>
        </w:rPr>
        <w:t>longement</w:t>
      </w:r>
      <w:r>
        <w:rPr>
          <w:szCs w:val="18"/>
        </w:rPr>
        <w:t xml:space="preserve"> </w:t>
      </w:r>
      <w:r w:rsidRPr="008E4A86">
        <w:rPr>
          <w:szCs w:val="18"/>
        </w:rPr>
        <w:t>et</w:t>
      </w:r>
      <w:r>
        <w:t xml:space="preserve"> </w:t>
      </w:r>
      <w:r w:rsidRPr="008E4A86">
        <w:rPr>
          <w:szCs w:val="18"/>
        </w:rPr>
        <w:t>surabaissement du châssis (poutres formées par esta</w:t>
      </w:r>
      <w:r w:rsidRPr="008E4A86">
        <w:rPr>
          <w:szCs w:val="18"/>
        </w:rPr>
        <w:t>m</w:t>
      </w:r>
      <w:r w:rsidRPr="008E4A86">
        <w:rPr>
          <w:szCs w:val="18"/>
        </w:rPr>
        <w:t>page). En ce qui concerne les roues, le type P. B2, précu</w:t>
      </w:r>
      <w:r w:rsidRPr="008E4A86">
        <w:rPr>
          <w:szCs w:val="18"/>
        </w:rPr>
        <w:t>r</w:t>
      </w:r>
      <w:r w:rsidRPr="008E4A86">
        <w:rPr>
          <w:szCs w:val="18"/>
        </w:rPr>
        <w:t>seur du type H, possédait des roues en bois élastiques, munies de ba</w:t>
      </w:r>
      <w:r w:rsidRPr="008E4A86">
        <w:rPr>
          <w:szCs w:val="18"/>
        </w:rPr>
        <w:t>n</w:t>
      </w:r>
      <w:r w:rsidRPr="008E4A86">
        <w:rPr>
          <w:szCs w:val="18"/>
        </w:rPr>
        <w:t>dages pleins.</w:t>
      </w:r>
    </w:p>
    <w:p w14:paraId="548B4BC8" w14:textId="77777777" w:rsidR="00E02276" w:rsidRPr="008E4A86" w:rsidRDefault="00E02276" w:rsidP="00E02276">
      <w:pPr>
        <w:spacing w:before="120" w:after="120"/>
        <w:jc w:val="both"/>
      </w:pPr>
      <w:r>
        <w:br w:type="page"/>
      </w:r>
    </w:p>
    <w:p w14:paraId="7EE71BE8" w14:textId="77777777" w:rsidR="00E02276" w:rsidRDefault="00637EC3" w:rsidP="00E02276">
      <w:pPr>
        <w:pStyle w:val="fig"/>
        <w:rPr>
          <w:noProof/>
          <w:lang w:val="fr-FR" w:eastAsia="fr-FR"/>
        </w:rPr>
      </w:pPr>
      <w:r w:rsidRPr="00265007">
        <w:rPr>
          <w:noProof/>
          <w:lang w:val="fr-FR" w:eastAsia="fr-FR"/>
        </w:rPr>
        <w:drawing>
          <wp:inline distT="0" distB="0" distL="0" distR="0" wp14:anchorId="45C9EB3F" wp14:editId="6E529BC9">
            <wp:extent cx="5029200" cy="4359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0" cy="4359275"/>
                    </a:xfrm>
                    <a:prstGeom prst="rect">
                      <a:avLst/>
                    </a:prstGeom>
                    <a:noFill/>
                    <a:ln>
                      <a:noFill/>
                    </a:ln>
                  </pic:spPr>
                </pic:pic>
              </a:graphicData>
            </a:graphic>
          </wp:inline>
        </w:drawing>
      </w:r>
    </w:p>
    <w:p w14:paraId="032694D6" w14:textId="77777777" w:rsidR="00E02276" w:rsidRDefault="00E02276" w:rsidP="00E02276">
      <w:pPr>
        <w:spacing w:before="120" w:after="120"/>
        <w:jc w:val="both"/>
        <w:rPr>
          <w:szCs w:val="18"/>
        </w:rPr>
      </w:pPr>
    </w:p>
    <w:p w14:paraId="7A288B76" w14:textId="77777777" w:rsidR="00E02276" w:rsidRPr="008E4A86" w:rsidRDefault="00E02276" w:rsidP="00E02276">
      <w:pPr>
        <w:spacing w:before="120" w:after="120"/>
        <w:jc w:val="both"/>
      </w:pPr>
      <w:r w:rsidRPr="008E4A86">
        <w:rPr>
          <w:szCs w:val="18"/>
        </w:rPr>
        <w:t>Les types H, puis P.N, étant équipés de roues en acier, ce qui était une sérieuse innovation, mais toujours avec les mêmes bandages, et ce n'est qu'en 1929 que celles-ci furent remplacées par des roues class</w:t>
      </w:r>
      <w:r w:rsidRPr="008E4A86">
        <w:rPr>
          <w:szCs w:val="18"/>
        </w:rPr>
        <w:t>i</w:t>
      </w:r>
      <w:r w:rsidRPr="008E4A86">
        <w:rPr>
          <w:szCs w:val="18"/>
        </w:rPr>
        <w:t>ques à voile en tôle montées sur pneu (avec modification des fusées). En dehors de cette évolution technique, il faut noter que les diverses étapes de l'évolution sont liées aux relations entre les firmes.</w:t>
      </w:r>
    </w:p>
    <w:p w14:paraId="007B3724" w14:textId="77777777" w:rsidR="00E02276" w:rsidRPr="008E4A86" w:rsidRDefault="00E02276" w:rsidP="00E02276">
      <w:pPr>
        <w:spacing w:before="120" w:after="120"/>
        <w:jc w:val="both"/>
      </w:pPr>
      <w:r w:rsidRPr="008E4A86">
        <w:rPr>
          <w:szCs w:val="18"/>
        </w:rPr>
        <w:t>En effet, la SCEMIA (cf. supra) est une émanation de Schneider &amp; Cie, de Renault et de la Banque Mirabaud. Société créée pendant la guerre de 1914 pour construire du matériel militaire.</w:t>
      </w:r>
    </w:p>
    <w:p w14:paraId="11FF21A5" w14:textId="77777777" w:rsidR="00E02276" w:rsidRDefault="00E02276" w:rsidP="00E02276">
      <w:pPr>
        <w:spacing w:before="120" w:after="120"/>
        <w:jc w:val="both"/>
        <w:rPr>
          <w:szCs w:val="18"/>
        </w:rPr>
      </w:pPr>
      <w:r w:rsidRPr="008E4A86">
        <w:rPr>
          <w:szCs w:val="18"/>
        </w:rPr>
        <w:t>La maison Schneider ne voulant plus construire d'autobus, céda donc ses brevets dans ce domaine à la dite SCEMIA. En outre, R</w:t>
      </w:r>
      <w:r w:rsidRPr="008E4A86">
        <w:rPr>
          <w:szCs w:val="18"/>
        </w:rPr>
        <w:t>e</w:t>
      </w:r>
      <w:r w:rsidRPr="008E4A86">
        <w:rPr>
          <w:szCs w:val="18"/>
        </w:rPr>
        <w:t>nault étant partie prenante dans cette société, il est apparu logique que cette dernière prit la relève dans ce domaine. D'autre part, les Forges de Louvrail et Recquignies, au même groupe, ont conçu et construit les châssis surbaissés des autobus ultérieurs. La SCEMIA et Louvrail et Recquignies ayant beaucoup moins réussi dans la construction des châssis des tramways légers L qui donneront très vite des signes de fatigue. En regrettant de ne disposer de plus de place, nous espérons avoir tout de même éclairé l'analyse des principaux éléments d'un type classique d'engin, se plaçant bien comme relais dans la ligne d'une évolution.</w:t>
      </w:r>
    </w:p>
    <w:p w14:paraId="03BA67F3" w14:textId="77777777" w:rsidR="00E02276" w:rsidRPr="008E4A86" w:rsidRDefault="00E02276" w:rsidP="00E02276">
      <w:pPr>
        <w:spacing w:before="120" w:after="120"/>
        <w:jc w:val="both"/>
      </w:pPr>
    </w:p>
    <w:p w14:paraId="21328C50" w14:textId="77777777" w:rsidR="00E02276" w:rsidRPr="008E4A86" w:rsidRDefault="00637EC3" w:rsidP="00E02276">
      <w:pPr>
        <w:pStyle w:val="fig"/>
      </w:pPr>
      <w:r>
        <w:rPr>
          <w:noProof/>
        </w:rPr>
        <w:drawing>
          <wp:inline distT="0" distB="0" distL="0" distR="0" wp14:anchorId="722F6E4B" wp14:editId="20A73240">
            <wp:extent cx="5029200" cy="30302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3030220"/>
                    </a:xfrm>
                    <a:prstGeom prst="rect">
                      <a:avLst/>
                    </a:prstGeom>
                    <a:noFill/>
                    <a:ln>
                      <a:noFill/>
                    </a:ln>
                  </pic:spPr>
                </pic:pic>
              </a:graphicData>
            </a:graphic>
          </wp:inline>
        </w:drawing>
      </w:r>
    </w:p>
    <w:p w14:paraId="2B3DAFA5" w14:textId="77777777" w:rsidR="00E02276" w:rsidRDefault="00E02276" w:rsidP="00E02276">
      <w:pPr>
        <w:jc w:val="both"/>
      </w:pPr>
    </w:p>
    <w:p w14:paraId="78880F36" w14:textId="77777777" w:rsidR="00E02276" w:rsidRDefault="00E02276" w:rsidP="00E02276">
      <w:pPr>
        <w:jc w:val="both"/>
      </w:pPr>
    </w:p>
    <w:p w14:paraId="16BC9101" w14:textId="77777777" w:rsidR="00E02276" w:rsidRPr="00E07116" w:rsidRDefault="00E02276" w:rsidP="00E02276">
      <w:pPr>
        <w:pStyle w:val="suite"/>
      </w:pPr>
      <w:r w:rsidRPr="00E07116">
        <w:t>Fin du texte</w:t>
      </w:r>
    </w:p>
    <w:p w14:paraId="5B139154" w14:textId="77777777" w:rsidR="00E02276" w:rsidRPr="00E07116" w:rsidRDefault="00E02276" w:rsidP="00E02276">
      <w:pPr>
        <w:jc w:val="both"/>
      </w:pPr>
    </w:p>
    <w:sectPr w:rsidR="00E02276" w:rsidRPr="00E07116" w:rsidSect="00E02276">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2B1A" w14:textId="77777777" w:rsidR="009E3DA5" w:rsidRDefault="009E3DA5">
      <w:r>
        <w:separator/>
      </w:r>
    </w:p>
  </w:endnote>
  <w:endnote w:type="continuationSeparator" w:id="0">
    <w:p w14:paraId="56917C6C" w14:textId="77777777" w:rsidR="009E3DA5" w:rsidRDefault="009E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6F99" w14:textId="77777777" w:rsidR="009E3DA5" w:rsidRDefault="009E3DA5">
      <w:pPr>
        <w:ind w:firstLine="0"/>
      </w:pPr>
      <w:r>
        <w:separator/>
      </w:r>
    </w:p>
  </w:footnote>
  <w:footnote w:type="continuationSeparator" w:id="0">
    <w:p w14:paraId="77C34018" w14:textId="77777777" w:rsidR="009E3DA5" w:rsidRDefault="009E3DA5">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DA05" w14:textId="77777777" w:rsidR="00E02276" w:rsidRDefault="00E02276" w:rsidP="00E0227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Jean Aoutin, </w:t>
    </w:r>
    <w:r w:rsidRPr="0012782F">
      <w:rPr>
        <w:rFonts w:ascii="Times New Roman" w:hAnsi="Times New Roman"/>
      </w:rPr>
      <w:t>“</w:t>
    </w:r>
    <w:r>
      <w:rPr>
        <w:rFonts w:ascii="Times New Roman" w:hAnsi="Times New Roman"/>
      </w:rPr>
      <w:t>La machine décomposée.</w:t>
    </w:r>
    <w:r w:rsidRPr="0012782F">
      <w:rPr>
        <w:rFonts w:ascii="Times New Roman" w:hAnsi="Times New Roman"/>
      </w:rPr>
      <w:t>”</w:t>
    </w:r>
    <w:r w:rsidRPr="00C90835">
      <w:rPr>
        <w:rFonts w:ascii="Times New Roman" w:hAnsi="Times New Roman"/>
      </w:rPr>
      <w:t xml:space="preserve"> </w:t>
    </w:r>
    <w:r>
      <w:rPr>
        <w:rFonts w:ascii="Times New Roman" w:hAnsi="Times New Roman"/>
      </w:rPr>
      <w:t>(1980)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68FBCA61" w14:textId="77777777" w:rsidR="00E02276" w:rsidRDefault="00E02276">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TimesNewRomanPSM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1470095">
    <w:abstractNumId w:val="9"/>
  </w:num>
  <w:num w:numId="2" w16cid:durableId="1819611045">
    <w:abstractNumId w:val="11"/>
  </w:num>
  <w:num w:numId="3" w16cid:durableId="1493906059">
    <w:abstractNumId w:val="20"/>
  </w:num>
  <w:num w:numId="4" w16cid:durableId="982779294">
    <w:abstractNumId w:val="3"/>
  </w:num>
  <w:num w:numId="5" w16cid:durableId="1019507471">
    <w:abstractNumId w:val="8"/>
  </w:num>
  <w:num w:numId="6" w16cid:durableId="1767572296">
    <w:abstractNumId w:val="14"/>
  </w:num>
  <w:num w:numId="7" w16cid:durableId="85612501">
    <w:abstractNumId w:val="19"/>
  </w:num>
  <w:num w:numId="8" w16cid:durableId="1276061007">
    <w:abstractNumId w:val="18"/>
  </w:num>
  <w:num w:numId="9" w16cid:durableId="2049600363">
    <w:abstractNumId w:val="0"/>
  </w:num>
  <w:num w:numId="10" w16cid:durableId="819614460">
    <w:abstractNumId w:val="1"/>
  </w:num>
  <w:num w:numId="11" w16cid:durableId="1367872654">
    <w:abstractNumId w:val="17"/>
  </w:num>
  <w:num w:numId="12" w16cid:durableId="1352145732">
    <w:abstractNumId w:val="21"/>
  </w:num>
  <w:num w:numId="13" w16cid:durableId="917133966">
    <w:abstractNumId w:val="16"/>
  </w:num>
  <w:num w:numId="14" w16cid:durableId="1126854121">
    <w:abstractNumId w:val="6"/>
  </w:num>
  <w:num w:numId="15" w16cid:durableId="1461604699">
    <w:abstractNumId w:val="4"/>
  </w:num>
  <w:num w:numId="16" w16cid:durableId="1485198115">
    <w:abstractNumId w:val="12"/>
  </w:num>
  <w:num w:numId="17" w16cid:durableId="568462761">
    <w:abstractNumId w:val="15"/>
  </w:num>
  <w:num w:numId="18" w16cid:durableId="1267888798">
    <w:abstractNumId w:val="5"/>
  </w:num>
  <w:num w:numId="19" w16cid:durableId="1641039141">
    <w:abstractNumId w:val="2"/>
  </w:num>
  <w:num w:numId="20" w16cid:durableId="1475635067">
    <w:abstractNumId w:val="10"/>
  </w:num>
  <w:num w:numId="21" w16cid:durableId="931670873">
    <w:abstractNumId w:val="13"/>
  </w:num>
  <w:num w:numId="22" w16cid:durableId="1004166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37EC3"/>
    <w:rsid w:val="009E3DA5"/>
    <w:rsid w:val="00E02276"/>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D27DD95"/>
  <w15:chartTrackingRefBased/>
  <w15:docId w15:val="{6B58C172-0925-D345-B549-F9435B99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gaudin@2100.org"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hyperlink" Target="mailto:margaret.denoblet@free.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image" Target="media/image8.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1653</Words>
  <Characters>9009</Characters>
  <Application>Microsoft Office Word</Application>
  <DocSecurity>0</DocSecurity>
  <Lines>231</Lines>
  <Paragraphs>53</Paragraphs>
  <ScaleCrop>false</ScaleCrop>
  <HeadingPairs>
    <vt:vector size="2" baseType="variant">
      <vt:variant>
        <vt:lpstr>Title</vt:lpstr>
      </vt:variant>
      <vt:variant>
        <vt:i4>1</vt:i4>
      </vt:variant>
    </vt:vector>
  </HeadingPairs>
  <TitlesOfParts>
    <vt:vector size="1" baseType="lpstr">
      <vt:lpstr>“La machine décomposée.” </vt:lpstr>
    </vt:vector>
  </TitlesOfParts>
  <Manager>par Jean-Marie Tremblay, bénévole, 2024.</Manager>
  <Company>Les Classiques des sciences sociales</Company>
  <LinksUpToDate>false</LinksUpToDate>
  <CharactersWithSpaces>10609</CharactersWithSpaces>
  <SharedDoc>false</SharedDoc>
  <HyperlinkBase/>
  <HLinks>
    <vt:vector size="84" baseType="variant">
      <vt:variant>
        <vt:i4>5243007</vt:i4>
      </vt:variant>
      <vt:variant>
        <vt:i4>21</vt:i4>
      </vt:variant>
      <vt:variant>
        <vt:i4>0</vt:i4>
      </vt:variant>
      <vt:variant>
        <vt:i4>5</vt:i4>
      </vt:variant>
      <vt:variant>
        <vt:lpwstr>mailto:gaudin@2100.org</vt:lpwstr>
      </vt:variant>
      <vt:variant>
        <vt:lpwstr/>
      </vt:variant>
      <vt:variant>
        <vt:i4>1704054</vt:i4>
      </vt:variant>
      <vt:variant>
        <vt:i4>18</vt:i4>
      </vt:variant>
      <vt:variant>
        <vt:i4>0</vt:i4>
      </vt:variant>
      <vt:variant>
        <vt:i4>5</vt:i4>
      </vt:variant>
      <vt:variant>
        <vt:lpwstr>mailto:margaret.denoblet@free.fr</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2276</vt:i4>
      </vt:variant>
      <vt:variant>
        <vt:i4>1025</vt:i4>
      </vt:variant>
      <vt:variant>
        <vt:i4>1</vt:i4>
      </vt:variant>
      <vt:variant>
        <vt:lpwstr>css_logo_gris</vt:lpwstr>
      </vt:variant>
      <vt:variant>
        <vt:lpwstr/>
      </vt:variant>
      <vt:variant>
        <vt:i4>5111880</vt:i4>
      </vt:variant>
      <vt:variant>
        <vt:i4>2605</vt:i4>
      </vt:variant>
      <vt:variant>
        <vt:i4>1026</vt:i4>
      </vt:variant>
      <vt:variant>
        <vt:i4>1</vt:i4>
      </vt:variant>
      <vt:variant>
        <vt:lpwstr>UQAC_logo_2018</vt:lpwstr>
      </vt:variant>
      <vt:variant>
        <vt:lpwstr/>
      </vt:variant>
      <vt:variant>
        <vt:i4>1507403</vt:i4>
      </vt:variant>
      <vt:variant>
        <vt:i4>2607</vt:i4>
      </vt:variant>
      <vt:variant>
        <vt:i4>1027</vt:i4>
      </vt:variant>
      <vt:variant>
        <vt:i4>1</vt:i4>
      </vt:variant>
      <vt:variant>
        <vt:lpwstr>UQAM_logo</vt:lpwstr>
      </vt:variant>
      <vt:variant>
        <vt:lpwstr/>
      </vt:variant>
      <vt:variant>
        <vt:i4>2359404</vt:i4>
      </vt:variant>
      <vt:variant>
        <vt:i4>5721</vt:i4>
      </vt:variant>
      <vt:variant>
        <vt:i4>1030</vt:i4>
      </vt:variant>
      <vt:variant>
        <vt:i4>1</vt:i4>
      </vt:variant>
      <vt:variant>
        <vt:lpwstr>CT_1980_2_Couleurs_L50</vt:lpwstr>
      </vt:variant>
      <vt:variant>
        <vt:lpwstr/>
      </vt:variant>
      <vt:variant>
        <vt:i4>5767201</vt:i4>
      </vt:variant>
      <vt:variant>
        <vt:i4>11324</vt:i4>
      </vt:variant>
      <vt:variant>
        <vt:i4>1031</vt:i4>
      </vt:variant>
      <vt:variant>
        <vt:i4>1</vt:i4>
      </vt:variant>
      <vt:variant>
        <vt:lpwstr>fig_p_11a</vt:lpwstr>
      </vt:variant>
      <vt:variant>
        <vt:lpwstr/>
      </vt:variant>
      <vt:variant>
        <vt:i4>3604500</vt:i4>
      </vt:variant>
      <vt:variant>
        <vt:i4>12692</vt:i4>
      </vt:variant>
      <vt:variant>
        <vt:i4>1032</vt:i4>
      </vt:variant>
      <vt:variant>
        <vt:i4>1</vt:i4>
      </vt:variant>
      <vt:variant>
        <vt:lpwstr>fig_p_11b_60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machine décomposée.” </dc:title>
  <dc:subject/>
  <dc:creator>par Jean AOUTIN, 1980</dc:creator>
  <cp:keywords>classiques.sc.soc@gmail.com</cp:keywords>
  <dc:description>http://classiques.uqac.ca/</dc:description>
  <cp:lastModifiedBy>jean-marie tremblay</cp:lastModifiedBy>
  <cp:revision>2</cp:revision>
  <cp:lastPrinted>2001-08-26T19:33:00Z</cp:lastPrinted>
  <dcterms:created xsi:type="dcterms:W3CDTF">2024-07-13T23:02:00Z</dcterms:created>
  <dcterms:modified xsi:type="dcterms:W3CDTF">2024-07-13T23:02:00Z</dcterms:modified>
  <cp:category>jean-marie tremblay, sociologue, fondateur, 1993.</cp:category>
</cp:coreProperties>
</file>