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380147">
        <w:tblPrEx>
          <w:tblCellMar>
            <w:top w:w="0" w:type="dxa"/>
            <w:bottom w:w="0" w:type="dxa"/>
          </w:tblCellMar>
        </w:tblPrEx>
        <w:tc>
          <w:tcPr>
            <w:tcW w:w="9160" w:type="dxa"/>
            <w:shd w:val="clear" w:color="auto" w:fill="F2EED5"/>
          </w:tcPr>
          <w:p w:rsidR="00380147" w:rsidRPr="00B552E2" w:rsidRDefault="00380147" w:rsidP="00380147">
            <w:pPr>
              <w:rPr>
                <w:lang w:val="en-CA" w:bidi="ar-SA"/>
              </w:rPr>
            </w:pPr>
            <w:bookmarkStart w:id="0" w:name="_GoBack"/>
            <w:bookmarkEnd w:id="0"/>
          </w:p>
          <w:p w:rsidR="00380147" w:rsidRDefault="00380147">
            <w:pPr>
              <w:ind w:firstLine="0"/>
              <w:jc w:val="center"/>
              <w:rPr>
                <w:color w:val="FF0000"/>
                <w:lang w:bidi="ar-SA"/>
              </w:rPr>
            </w:pPr>
          </w:p>
          <w:p w:rsidR="00380147" w:rsidRDefault="00380147">
            <w:pPr>
              <w:ind w:firstLine="0"/>
              <w:jc w:val="center"/>
              <w:rPr>
                <w:b/>
                <w:lang w:bidi="ar-SA"/>
              </w:rPr>
            </w:pPr>
          </w:p>
          <w:p w:rsidR="00380147" w:rsidRDefault="00380147" w:rsidP="00380147">
            <w:pPr>
              <w:ind w:firstLine="0"/>
              <w:jc w:val="center"/>
              <w:rPr>
                <w:sz w:val="36"/>
                <w:lang w:bidi="ar-SA"/>
              </w:rPr>
            </w:pPr>
            <w:r>
              <w:rPr>
                <w:sz w:val="36"/>
                <w:lang w:bidi="ar-SA"/>
              </w:rPr>
              <w:t>Camil GIRARD</w:t>
            </w:r>
          </w:p>
          <w:p w:rsidR="00380147" w:rsidRPr="00C34171" w:rsidRDefault="00380147" w:rsidP="00380147">
            <w:pPr>
              <w:ind w:firstLine="0"/>
              <w:jc w:val="center"/>
              <w:rPr>
                <w:sz w:val="24"/>
                <w:lang w:bidi="ar-SA"/>
              </w:rPr>
            </w:pPr>
            <w:r w:rsidRPr="00C34171">
              <w:rPr>
                <w:sz w:val="24"/>
                <w:lang w:bidi="ar-SA"/>
              </w:rPr>
              <w:t>Dr en histoire</w:t>
            </w:r>
            <w:r w:rsidRPr="00C34171">
              <w:rPr>
                <w:sz w:val="24"/>
                <w:lang w:bidi="ar-SA"/>
              </w:rPr>
              <w:br/>
              <w:t>Groupe de recherche sur l'histoire</w:t>
            </w:r>
            <w:r>
              <w:rPr>
                <w:sz w:val="24"/>
                <w:lang w:bidi="ar-SA"/>
              </w:rPr>
              <w:t xml:space="preserve"> </w:t>
            </w:r>
            <w:r w:rsidRPr="00C34171">
              <w:rPr>
                <w:sz w:val="24"/>
                <w:lang w:bidi="ar-SA"/>
              </w:rPr>
              <w:t>ARUC monts Valin–monts Otish</w:t>
            </w:r>
          </w:p>
          <w:p w:rsidR="00380147" w:rsidRPr="00C34171" w:rsidRDefault="00380147" w:rsidP="00380147">
            <w:pPr>
              <w:ind w:firstLine="0"/>
              <w:jc w:val="center"/>
              <w:rPr>
                <w:b/>
                <w:sz w:val="24"/>
                <w:lang w:bidi="ar-SA"/>
              </w:rPr>
            </w:pPr>
            <w:r w:rsidRPr="00C34171">
              <w:rPr>
                <w:sz w:val="24"/>
                <w:lang w:bidi="ar-SA"/>
              </w:rPr>
              <w:t>Université du Québec à Chicoutimi</w:t>
            </w:r>
          </w:p>
          <w:p w:rsidR="00380147" w:rsidRPr="00C34171" w:rsidRDefault="00380147" w:rsidP="00380147">
            <w:pPr>
              <w:ind w:firstLine="0"/>
              <w:jc w:val="center"/>
              <w:rPr>
                <w:b/>
                <w:sz w:val="24"/>
                <w:lang w:bidi="ar-SA"/>
              </w:rPr>
            </w:pPr>
          </w:p>
          <w:p w:rsidR="00380147" w:rsidRPr="009D71BF" w:rsidRDefault="00380147" w:rsidP="00380147">
            <w:pPr>
              <w:pStyle w:val="Corpsdetexte"/>
              <w:widowControl w:val="0"/>
              <w:spacing w:before="120" w:after="0"/>
              <w:rPr>
                <w:sz w:val="36"/>
                <w:lang w:bidi="ar-SA"/>
              </w:rPr>
            </w:pPr>
            <w:r w:rsidRPr="009D71BF">
              <w:rPr>
                <w:sz w:val="36"/>
                <w:lang w:bidi="ar-SA"/>
              </w:rPr>
              <w:t>(</w:t>
            </w:r>
            <w:r>
              <w:rPr>
                <w:sz w:val="36"/>
                <w:lang w:bidi="ar-SA"/>
              </w:rPr>
              <w:t>2003</w:t>
            </w:r>
            <w:r w:rsidRPr="009D71BF">
              <w:rPr>
                <w:sz w:val="36"/>
                <w:lang w:bidi="ar-SA"/>
              </w:rPr>
              <w:t>)</w:t>
            </w:r>
          </w:p>
          <w:p w:rsidR="00380147" w:rsidRDefault="00380147">
            <w:pPr>
              <w:pStyle w:val="Corpsdetexte"/>
              <w:widowControl w:val="0"/>
              <w:spacing w:before="0" w:after="0"/>
              <w:rPr>
                <w:color w:val="FF0000"/>
                <w:sz w:val="24"/>
                <w:lang w:bidi="ar-SA"/>
              </w:rPr>
            </w:pPr>
          </w:p>
          <w:p w:rsidR="00380147" w:rsidRDefault="00380147">
            <w:pPr>
              <w:pStyle w:val="Corpsdetexte"/>
              <w:widowControl w:val="0"/>
              <w:spacing w:before="0" w:after="0"/>
              <w:rPr>
                <w:color w:val="FF0000"/>
                <w:sz w:val="24"/>
                <w:lang w:bidi="ar-SA"/>
              </w:rPr>
            </w:pPr>
          </w:p>
          <w:p w:rsidR="00380147" w:rsidRPr="00541D4A" w:rsidRDefault="00380147" w:rsidP="00380147">
            <w:pPr>
              <w:pStyle w:val="Titlest0"/>
              <w:rPr>
                <w:lang w:bidi="ar-SA"/>
              </w:rPr>
            </w:pPr>
            <w:r w:rsidRPr="00C34171">
              <w:rPr>
                <w:sz w:val="40"/>
                <w:lang w:bidi="ar-SA"/>
              </w:rPr>
              <w:t>“Un document inédit sur les droits territoriaux.</w:t>
            </w:r>
            <w:r w:rsidRPr="00C34171">
              <w:rPr>
                <w:sz w:val="40"/>
                <w:lang w:bidi="ar-SA"/>
              </w:rPr>
              <w:br/>
            </w:r>
            <w:r w:rsidRPr="00C34171">
              <w:rPr>
                <w:sz w:val="72"/>
                <w:lang w:bidi="ar-SA"/>
              </w:rPr>
              <w:t>Le protêt des Innus</w:t>
            </w:r>
            <w:r w:rsidRPr="00C34171">
              <w:rPr>
                <w:sz w:val="72"/>
                <w:lang w:bidi="ar-SA"/>
              </w:rPr>
              <w:br/>
              <w:t>du comté S</w:t>
            </w:r>
            <w:r w:rsidRPr="00C34171">
              <w:rPr>
                <w:sz w:val="72"/>
                <w:lang w:bidi="ar-SA"/>
              </w:rPr>
              <w:t>a</w:t>
            </w:r>
            <w:r w:rsidRPr="00C34171">
              <w:rPr>
                <w:sz w:val="72"/>
                <w:lang w:bidi="ar-SA"/>
              </w:rPr>
              <w:t>guenay</w:t>
            </w:r>
            <w:r w:rsidRPr="00C34171">
              <w:rPr>
                <w:sz w:val="72"/>
                <w:lang w:bidi="ar-SA"/>
              </w:rPr>
              <w:br/>
              <w:t>en 1851.”</w:t>
            </w:r>
          </w:p>
          <w:p w:rsidR="00380147" w:rsidRDefault="00380147">
            <w:pPr>
              <w:widowControl w:val="0"/>
              <w:ind w:firstLine="0"/>
              <w:jc w:val="center"/>
              <w:rPr>
                <w:lang w:bidi="ar-SA"/>
              </w:rPr>
            </w:pPr>
          </w:p>
          <w:p w:rsidR="00380147" w:rsidRDefault="00380147">
            <w:pPr>
              <w:widowControl w:val="0"/>
              <w:ind w:firstLine="0"/>
              <w:jc w:val="center"/>
              <w:rPr>
                <w:lang w:bidi="ar-SA"/>
              </w:rPr>
            </w:pPr>
          </w:p>
          <w:p w:rsidR="00380147" w:rsidRDefault="00380147" w:rsidP="00380147">
            <w:pPr>
              <w:widowControl w:val="0"/>
              <w:ind w:firstLine="0"/>
              <w:jc w:val="center"/>
              <w:rPr>
                <w:sz w:val="20"/>
                <w:lang w:bidi="ar-SA"/>
              </w:rPr>
            </w:pPr>
          </w:p>
          <w:p w:rsidR="00380147" w:rsidRPr="00384B20" w:rsidRDefault="00380147" w:rsidP="00380147">
            <w:pPr>
              <w:widowControl w:val="0"/>
              <w:ind w:firstLine="0"/>
              <w:jc w:val="center"/>
              <w:rPr>
                <w:sz w:val="20"/>
                <w:lang w:bidi="ar-SA"/>
              </w:rPr>
            </w:pPr>
          </w:p>
          <w:p w:rsidR="00380147" w:rsidRPr="00384B20" w:rsidRDefault="00380147" w:rsidP="0038014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380147" w:rsidRPr="00E07116" w:rsidRDefault="00380147" w:rsidP="00380147">
            <w:pPr>
              <w:widowControl w:val="0"/>
              <w:ind w:firstLine="0"/>
              <w:jc w:val="both"/>
              <w:rPr>
                <w:lang w:bidi="ar-SA"/>
              </w:rPr>
            </w:pPr>
          </w:p>
          <w:p w:rsidR="00380147" w:rsidRPr="00E07116" w:rsidRDefault="00380147" w:rsidP="00380147">
            <w:pPr>
              <w:widowControl w:val="0"/>
              <w:ind w:firstLine="0"/>
              <w:jc w:val="both"/>
              <w:rPr>
                <w:lang w:bidi="ar-SA"/>
              </w:rPr>
            </w:pPr>
          </w:p>
          <w:p w:rsidR="00380147" w:rsidRDefault="00380147" w:rsidP="00380147">
            <w:pPr>
              <w:widowControl w:val="0"/>
              <w:ind w:firstLine="0"/>
              <w:jc w:val="both"/>
              <w:rPr>
                <w:lang w:bidi="ar-SA"/>
              </w:rPr>
            </w:pPr>
          </w:p>
          <w:p w:rsidR="00380147" w:rsidRDefault="00380147" w:rsidP="00380147">
            <w:pPr>
              <w:widowControl w:val="0"/>
              <w:ind w:firstLine="0"/>
              <w:jc w:val="both"/>
              <w:rPr>
                <w:lang w:bidi="ar-SA"/>
              </w:rPr>
            </w:pPr>
          </w:p>
          <w:p w:rsidR="00380147" w:rsidRDefault="00380147" w:rsidP="00380147">
            <w:pPr>
              <w:widowControl w:val="0"/>
              <w:ind w:firstLine="0"/>
              <w:jc w:val="both"/>
              <w:rPr>
                <w:lang w:bidi="ar-SA"/>
              </w:rPr>
            </w:pPr>
          </w:p>
          <w:p w:rsidR="00380147" w:rsidRDefault="00380147">
            <w:pPr>
              <w:widowControl w:val="0"/>
              <w:ind w:firstLine="0"/>
              <w:jc w:val="both"/>
              <w:rPr>
                <w:lang w:bidi="ar-SA"/>
              </w:rPr>
            </w:pPr>
          </w:p>
          <w:p w:rsidR="00380147" w:rsidRDefault="00380147">
            <w:pPr>
              <w:widowControl w:val="0"/>
              <w:ind w:firstLine="0"/>
              <w:jc w:val="both"/>
              <w:rPr>
                <w:lang w:bidi="ar-SA"/>
              </w:rPr>
            </w:pPr>
          </w:p>
          <w:p w:rsidR="00380147" w:rsidRDefault="00380147">
            <w:pPr>
              <w:ind w:firstLine="0"/>
              <w:jc w:val="both"/>
              <w:rPr>
                <w:lang w:bidi="ar-SA"/>
              </w:rPr>
            </w:pPr>
          </w:p>
        </w:tc>
      </w:tr>
    </w:tbl>
    <w:p w:rsidR="00380147" w:rsidRDefault="00380147" w:rsidP="00380147">
      <w:pPr>
        <w:ind w:firstLine="0"/>
        <w:jc w:val="both"/>
      </w:pPr>
      <w:r>
        <w:br w:type="page"/>
      </w:r>
    </w:p>
    <w:p w:rsidR="00380147" w:rsidRDefault="00380147" w:rsidP="00380147">
      <w:pPr>
        <w:ind w:firstLine="0"/>
        <w:jc w:val="both"/>
      </w:pPr>
    </w:p>
    <w:p w:rsidR="00380147" w:rsidRDefault="00380147" w:rsidP="00380147">
      <w:pPr>
        <w:ind w:firstLine="0"/>
        <w:jc w:val="both"/>
      </w:pPr>
    </w:p>
    <w:p w:rsidR="00380147" w:rsidRDefault="002D644A" w:rsidP="00380147">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380147" w:rsidRDefault="00380147" w:rsidP="00380147">
      <w:pPr>
        <w:ind w:firstLine="0"/>
        <w:jc w:val="right"/>
      </w:pPr>
      <w:hyperlink r:id="rId9" w:history="1">
        <w:r w:rsidRPr="00302466">
          <w:rPr>
            <w:rStyle w:val="Lienhypertexte"/>
          </w:rPr>
          <w:t>http://classiques.uqac.ca/</w:t>
        </w:r>
      </w:hyperlink>
      <w:r>
        <w:t xml:space="preserve"> </w:t>
      </w:r>
    </w:p>
    <w:p w:rsidR="00380147" w:rsidRDefault="00380147" w:rsidP="00380147">
      <w:pPr>
        <w:ind w:firstLine="0"/>
        <w:jc w:val="both"/>
      </w:pPr>
    </w:p>
    <w:p w:rsidR="00380147" w:rsidRDefault="00380147" w:rsidP="0038014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380147" w:rsidRDefault="00380147" w:rsidP="00380147">
      <w:pPr>
        <w:ind w:firstLine="0"/>
        <w:jc w:val="both"/>
      </w:pPr>
    </w:p>
    <w:p w:rsidR="00380147" w:rsidRDefault="002D644A" w:rsidP="00380147">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380147" w:rsidRDefault="00380147" w:rsidP="00380147">
      <w:pPr>
        <w:ind w:firstLine="0"/>
        <w:jc w:val="both"/>
      </w:pPr>
      <w:hyperlink r:id="rId11" w:history="1">
        <w:r w:rsidRPr="00302466">
          <w:rPr>
            <w:rStyle w:val="Lienhypertexte"/>
          </w:rPr>
          <w:t>http://bibliotheque.uqac.ca/</w:t>
        </w:r>
      </w:hyperlink>
      <w:r>
        <w:t xml:space="preserve"> </w:t>
      </w:r>
    </w:p>
    <w:p w:rsidR="00380147" w:rsidRDefault="00380147" w:rsidP="00380147">
      <w:pPr>
        <w:ind w:firstLine="0"/>
        <w:jc w:val="both"/>
      </w:pPr>
    </w:p>
    <w:p w:rsidR="00380147" w:rsidRDefault="00380147" w:rsidP="00380147">
      <w:pPr>
        <w:ind w:firstLine="0"/>
        <w:jc w:val="both"/>
      </w:pPr>
    </w:p>
    <w:p w:rsidR="00380147" w:rsidRDefault="00380147" w:rsidP="0038014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380147" w:rsidRPr="005E1FF1" w:rsidRDefault="00380147" w:rsidP="00380147">
      <w:pPr>
        <w:widowControl w:val="0"/>
        <w:autoSpaceDE w:val="0"/>
        <w:autoSpaceDN w:val="0"/>
        <w:adjustRightInd w:val="0"/>
        <w:rPr>
          <w:rFonts w:ascii="Arial" w:hAnsi="Arial"/>
          <w:sz w:val="32"/>
          <w:szCs w:val="32"/>
        </w:rPr>
      </w:pPr>
      <w:r w:rsidRPr="00E07116">
        <w:br w:type="page"/>
      </w:r>
    </w:p>
    <w:p w:rsidR="00380147" w:rsidRPr="005E1FF1" w:rsidRDefault="00380147">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380147" w:rsidRPr="005E1FF1" w:rsidRDefault="00380147">
      <w:pPr>
        <w:widowControl w:val="0"/>
        <w:autoSpaceDE w:val="0"/>
        <w:autoSpaceDN w:val="0"/>
        <w:adjustRightInd w:val="0"/>
        <w:rPr>
          <w:rFonts w:ascii="Arial" w:hAnsi="Arial"/>
          <w:sz w:val="32"/>
          <w:szCs w:val="32"/>
        </w:rPr>
      </w:pPr>
    </w:p>
    <w:p w:rsidR="00380147" w:rsidRPr="005E1FF1" w:rsidRDefault="00380147">
      <w:pPr>
        <w:widowControl w:val="0"/>
        <w:autoSpaceDE w:val="0"/>
        <w:autoSpaceDN w:val="0"/>
        <w:adjustRightInd w:val="0"/>
        <w:jc w:val="both"/>
        <w:rPr>
          <w:rFonts w:ascii="Arial" w:hAnsi="Arial"/>
          <w:color w:val="1C1C1C"/>
          <w:sz w:val="26"/>
          <w:szCs w:val="26"/>
        </w:rPr>
      </w:pPr>
    </w:p>
    <w:p w:rsidR="00380147" w:rsidRPr="005E1FF1" w:rsidRDefault="00380147">
      <w:pPr>
        <w:widowControl w:val="0"/>
        <w:autoSpaceDE w:val="0"/>
        <w:autoSpaceDN w:val="0"/>
        <w:adjustRightInd w:val="0"/>
        <w:jc w:val="both"/>
        <w:rPr>
          <w:rFonts w:ascii="Arial" w:hAnsi="Arial"/>
          <w:color w:val="1C1C1C"/>
          <w:sz w:val="26"/>
          <w:szCs w:val="26"/>
        </w:rPr>
      </w:pPr>
    </w:p>
    <w:p w:rsidR="00380147" w:rsidRPr="005E1FF1" w:rsidRDefault="00380147">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380147" w:rsidRPr="005E1FF1" w:rsidRDefault="00380147">
      <w:pPr>
        <w:widowControl w:val="0"/>
        <w:autoSpaceDE w:val="0"/>
        <w:autoSpaceDN w:val="0"/>
        <w:adjustRightInd w:val="0"/>
        <w:jc w:val="both"/>
        <w:rPr>
          <w:rFonts w:ascii="Arial" w:hAnsi="Arial"/>
          <w:color w:val="1C1C1C"/>
          <w:sz w:val="26"/>
          <w:szCs w:val="26"/>
        </w:rPr>
      </w:pPr>
    </w:p>
    <w:p w:rsidR="00380147" w:rsidRPr="00F336C5" w:rsidRDefault="00380147" w:rsidP="0038014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380147" w:rsidRPr="00F336C5" w:rsidRDefault="00380147" w:rsidP="00380147">
      <w:pPr>
        <w:widowControl w:val="0"/>
        <w:autoSpaceDE w:val="0"/>
        <w:autoSpaceDN w:val="0"/>
        <w:adjustRightInd w:val="0"/>
        <w:jc w:val="both"/>
        <w:rPr>
          <w:rFonts w:ascii="Arial" w:hAnsi="Arial"/>
          <w:color w:val="1C1C1C"/>
          <w:sz w:val="26"/>
          <w:szCs w:val="26"/>
        </w:rPr>
      </w:pPr>
    </w:p>
    <w:p w:rsidR="00380147" w:rsidRPr="00F336C5" w:rsidRDefault="00380147" w:rsidP="0038014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380147" w:rsidRPr="00F336C5" w:rsidRDefault="00380147" w:rsidP="0038014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380147" w:rsidRPr="00F336C5" w:rsidRDefault="00380147" w:rsidP="00380147">
      <w:pPr>
        <w:widowControl w:val="0"/>
        <w:autoSpaceDE w:val="0"/>
        <w:autoSpaceDN w:val="0"/>
        <w:adjustRightInd w:val="0"/>
        <w:jc w:val="both"/>
        <w:rPr>
          <w:rFonts w:ascii="Arial" w:hAnsi="Arial"/>
          <w:color w:val="1C1C1C"/>
          <w:sz w:val="26"/>
          <w:szCs w:val="26"/>
        </w:rPr>
      </w:pPr>
    </w:p>
    <w:p w:rsidR="00380147" w:rsidRPr="005E1FF1" w:rsidRDefault="00380147">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380147" w:rsidRPr="005E1FF1" w:rsidRDefault="00380147">
      <w:pPr>
        <w:widowControl w:val="0"/>
        <w:autoSpaceDE w:val="0"/>
        <w:autoSpaceDN w:val="0"/>
        <w:adjustRightInd w:val="0"/>
        <w:jc w:val="both"/>
        <w:rPr>
          <w:rFonts w:ascii="Arial" w:hAnsi="Arial"/>
          <w:color w:val="1C1C1C"/>
          <w:sz w:val="26"/>
          <w:szCs w:val="26"/>
        </w:rPr>
      </w:pPr>
    </w:p>
    <w:p w:rsidR="00380147" w:rsidRPr="005E1FF1" w:rsidRDefault="00380147">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380147" w:rsidRPr="005E1FF1" w:rsidRDefault="00380147">
      <w:pPr>
        <w:rPr>
          <w:rFonts w:ascii="Arial" w:hAnsi="Arial"/>
          <w:b/>
          <w:color w:val="1C1C1C"/>
          <w:sz w:val="26"/>
          <w:szCs w:val="26"/>
        </w:rPr>
      </w:pPr>
    </w:p>
    <w:p w:rsidR="00380147" w:rsidRPr="00A51D9C" w:rsidRDefault="00380147">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380147" w:rsidRPr="005E1FF1" w:rsidRDefault="00380147">
      <w:pPr>
        <w:rPr>
          <w:rFonts w:ascii="Arial" w:hAnsi="Arial"/>
          <w:b/>
          <w:color w:val="1C1C1C"/>
          <w:sz w:val="26"/>
          <w:szCs w:val="26"/>
        </w:rPr>
      </w:pPr>
    </w:p>
    <w:p w:rsidR="00380147" w:rsidRPr="005E1FF1" w:rsidRDefault="00380147">
      <w:pPr>
        <w:rPr>
          <w:rFonts w:ascii="Arial" w:hAnsi="Arial"/>
          <w:color w:val="1C1C1C"/>
          <w:sz w:val="26"/>
          <w:szCs w:val="26"/>
        </w:rPr>
      </w:pPr>
      <w:r w:rsidRPr="005E1FF1">
        <w:rPr>
          <w:rFonts w:ascii="Arial" w:hAnsi="Arial"/>
          <w:color w:val="1C1C1C"/>
          <w:sz w:val="26"/>
          <w:szCs w:val="26"/>
        </w:rPr>
        <w:t>Jean-Marie Tremblay, sociologue</w:t>
      </w:r>
    </w:p>
    <w:p w:rsidR="00380147" w:rsidRPr="005E1FF1" w:rsidRDefault="00380147">
      <w:pPr>
        <w:rPr>
          <w:rFonts w:ascii="Arial" w:hAnsi="Arial"/>
          <w:color w:val="1C1C1C"/>
          <w:sz w:val="26"/>
          <w:szCs w:val="26"/>
        </w:rPr>
      </w:pPr>
      <w:r w:rsidRPr="005E1FF1">
        <w:rPr>
          <w:rFonts w:ascii="Arial" w:hAnsi="Arial"/>
          <w:color w:val="1C1C1C"/>
          <w:sz w:val="26"/>
          <w:szCs w:val="26"/>
        </w:rPr>
        <w:t>Fondateur et Président-directeur général,</w:t>
      </w:r>
    </w:p>
    <w:p w:rsidR="00380147" w:rsidRPr="005E1FF1" w:rsidRDefault="00380147">
      <w:pPr>
        <w:rPr>
          <w:rFonts w:ascii="Arial" w:hAnsi="Arial"/>
          <w:color w:val="000080"/>
        </w:rPr>
      </w:pPr>
      <w:r w:rsidRPr="005E1FF1">
        <w:rPr>
          <w:rFonts w:ascii="Arial" w:hAnsi="Arial"/>
          <w:color w:val="000080"/>
          <w:sz w:val="26"/>
          <w:szCs w:val="26"/>
        </w:rPr>
        <w:t>LES CLASSIQUES DES SCIENCES SOCIALES.</w:t>
      </w:r>
    </w:p>
    <w:p w:rsidR="00380147" w:rsidRPr="00CF4C8E" w:rsidRDefault="00380147" w:rsidP="00380147">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380147" w:rsidRPr="00CF4C8E" w:rsidRDefault="00380147" w:rsidP="00380147">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380147" w:rsidRPr="00CF4C8E" w:rsidRDefault="00380147" w:rsidP="00380147">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380147" w:rsidRPr="00CF4C8E" w:rsidRDefault="00380147" w:rsidP="00380147">
      <w:pPr>
        <w:ind w:left="20" w:hanging="20"/>
        <w:jc w:val="both"/>
        <w:rPr>
          <w:sz w:val="24"/>
        </w:rPr>
      </w:pPr>
      <w:r w:rsidRPr="00CF4C8E">
        <w:rPr>
          <w:sz w:val="24"/>
        </w:rPr>
        <w:t>à partir du texte de :</w:t>
      </w:r>
    </w:p>
    <w:p w:rsidR="00380147" w:rsidRPr="0058603D" w:rsidRDefault="00380147" w:rsidP="00380147">
      <w:pPr>
        <w:ind w:right="720" w:firstLine="0"/>
      </w:pPr>
    </w:p>
    <w:p w:rsidR="00380147" w:rsidRPr="009024D3" w:rsidRDefault="00380147" w:rsidP="00380147">
      <w:pPr>
        <w:ind w:left="20" w:hanging="20"/>
        <w:jc w:val="both"/>
      </w:pPr>
      <w:r w:rsidRPr="009024D3">
        <w:t>Camil Girard</w:t>
      </w:r>
    </w:p>
    <w:p w:rsidR="00380147" w:rsidRPr="009024D3" w:rsidRDefault="00380147" w:rsidP="00380147">
      <w:pPr>
        <w:ind w:left="20" w:hanging="20"/>
        <w:jc w:val="both"/>
      </w:pPr>
    </w:p>
    <w:p w:rsidR="00380147" w:rsidRPr="00C34171" w:rsidRDefault="00380147" w:rsidP="00380147">
      <w:pPr>
        <w:ind w:hanging="20"/>
        <w:jc w:val="both"/>
        <w:rPr>
          <w:b/>
          <w:color w:val="FF0000"/>
        </w:rPr>
      </w:pPr>
      <w:r w:rsidRPr="00C34171">
        <w:rPr>
          <w:b/>
          <w:color w:val="FF0000"/>
        </w:rPr>
        <w:t>“Un document inédit sur les droits territoriaux.</w:t>
      </w:r>
    </w:p>
    <w:p w:rsidR="00380147" w:rsidRPr="00C34171" w:rsidRDefault="00380147" w:rsidP="00380147">
      <w:pPr>
        <w:ind w:hanging="20"/>
        <w:jc w:val="both"/>
        <w:rPr>
          <w:b/>
          <w:color w:val="FF0000"/>
        </w:rPr>
      </w:pPr>
      <w:r w:rsidRPr="00C34171">
        <w:rPr>
          <w:b/>
          <w:color w:val="FF0000"/>
        </w:rPr>
        <w:t>Le protêt des Innus</w:t>
      </w:r>
      <w:r>
        <w:rPr>
          <w:b/>
          <w:color w:val="FF0000"/>
        </w:rPr>
        <w:t xml:space="preserve"> </w:t>
      </w:r>
      <w:r w:rsidRPr="00C34171">
        <w:rPr>
          <w:b/>
          <w:color w:val="FF0000"/>
        </w:rPr>
        <w:t>du comté Saguenay</w:t>
      </w:r>
      <w:r>
        <w:rPr>
          <w:b/>
          <w:color w:val="FF0000"/>
        </w:rPr>
        <w:t xml:space="preserve"> </w:t>
      </w:r>
      <w:r w:rsidRPr="00C34171">
        <w:rPr>
          <w:b/>
          <w:color w:val="FF0000"/>
        </w:rPr>
        <w:t>en 1851.”</w:t>
      </w:r>
    </w:p>
    <w:p w:rsidR="00380147" w:rsidRPr="00DB329D" w:rsidRDefault="00380147" w:rsidP="00380147">
      <w:pPr>
        <w:ind w:hanging="20"/>
        <w:jc w:val="both"/>
        <w:rPr>
          <w:b/>
          <w:color w:val="FF0000"/>
        </w:rPr>
      </w:pPr>
    </w:p>
    <w:p w:rsidR="00380147" w:rsidRPr="009024D3" w:rsidRDefault="00380147" w:rsidP="00380147">
      <w:pPr>
        <w:ind w:hanging="20"/>
        <w:jc w:val="both"/>
        <w:rPr>
          <w:b/>
          <w:color w:val="FF0000"/>
        </w:rPr>
      </w:pPr>
    </w:p>
    <w:p w:rsidR="00380147" w:rsidRPr="00C34171" w:rsidRDefault="00380147" w:rsidP="00380147">
      <w:pPr>
        <w:spacing w:before="120" w:after="120"/>
        <w:jc w:val="both"/>
        <w:rPr>
          <w:szCs w:val="22"/>
        </w:rPr>
      </w:pPr>
      <w:r>
        <w:rPr>
          <w:szCs w:val="22"/>
        </w:rPr>
        <w:t xml:space="preserve">Un article publié dans la revue </w:t>
      </w:r>
      <w:r w:rsidRPr="00C34171">
        <w:rPr>
          <w:b/>
          <w:i/>
          <w:color w:val="000090"/>
          <w:szCs w:val="22"/>
        </w:rPr>
        <w:t>Saguenayensia</w:t>
      </w:r>
      <w:r>
        <w:rPr>
          <w:szCs w:val="22"/>
        </w:rPr>
        <w:t>, vol. 45, no 1, ja</w:t>
      </w:r>
      <w:r>
        <w:rPr>
          <w:szCs w:val="22"/>
        </w:rPr>
        <w:t>n</w:t>
      </w:r>
      <w:r>
        <w:rPr>
          <w:szCs w:val="22"/>
        </w:rPr>
        <w:t>vier-mars 2003, pp. 35-42. Chicoutimi : La Société historique du S</w:t>
      </w:r>
      <w:r>
        <w:rPr>
          <w:szCs w:val="22"/>
        </w:rPr>
        <w:t>a</w:t>
      </w:r>
      <w:r>
        <w:rPr>
          <w:szCs w:val="22"/>
        </w:rPr>
        <w:t>guenay—Lac-St-Jean.</w:t>
      </w:r>
    </w:p>
    <w:p w:rsidR="00380147" w:rsidRDefault="00380147">
      <w:pPr>
        <w:ind w:left="20"/>
        <w:jc w:val="both"/>
        <w:rPr>
          <w:sz w:val="24"/>
        </w:rPr>
      </w:pPr>
    </w:p>
    <w:p w:rsidR="00380147" w:rsidRPr="002C6491" w:rsidRDefault="00380147">
      <w:pPr>
        <w:ind w:left="20"/>
        <w:jc w:val="both"/>
        <w:rPr>
          <w:sz w:val="24"/>
        </w:rPr>
      </w:pPr>
      <w:r w:rsidRPr="002C6491">
        <w:rPr>
          <w:sz w:val="24"/>
        </w:rPr>
        <w:t>[Autorisation formelle accordée</w:t>
      </w:r>
      <w:r>
        <w:rPr>
          <w:sz w:val="24"/>
        </w:rPr>
        <w:t xml:space="preserve"> 9 septembre 2019</w:t>
      </w:r>
      <w:r w:rsidRPr="002C6491">
        <w:rPr>
          <w:sz w:val="24"/>
        </w:rPr>
        <w:t xml:space="preserve"> de diffuse</w:t>
      </w:r>
      <w:r>
        <w:rPr>
          <w:sz w:val="24"/>
        </w:rPr>
        <w:t xml:space="preserve">r en libre accès à tous ce texte </w:t>
      </w:r>
      <w:r w:rsidRPr="002C6491">
        <w:rPr>
          <w:sz w:val="24"/>
        </w:rPr>
        <w:t>dans Les Classiques des sciences soci</w:t>
      </w:r>
      <w:r w:rsidRPr="002C6491">
        <w:rPr>
          <w:sz w:val="24"/>
        </w:rPr>
        <w:t>a</w:t>
      </w:r>
      <w:r w:rsidRPr="002C6491">
        <w:rPr>
          <w:sz w:val="24"/>
        </w:rPr>
        <w:t>les.]</w:t>
      </w:r>
    </w:p>
    <w:p w:rsidR="00380147" w:rsidRPr="002C6491" w:rsidRDefault="00380147">
      <w:pPr>
        <w:jc w:val="both"/>
        <w:rPr>
          <w:sz w:val="24"/>
        </w:rPr>
      </w:pPr>
    </w:p>
    <w:p w:rsidR="00380147" w:rsidRPr="00632443" w:rsidRDefault="002D644A" w:rsidP="00380147">
      <w:pPr>
        <w:tabs>
          <w:tab w:val="left" w:pos="1620"/>
          <w:tab w:val="left" w:pos="4050"/>
        </w:tabs>
        <w:ind w:right="90" w:firstLine="0"/>
        <w:jc w:val="both"/>
        <w:rPr>
          <w:sz w:val="24"/>
        </w:rPr>
      </w:pPr>
      <w:r w:rsidRPr="00632443">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380147">
        <w:rPr>
          <w:sz w:val="24"/>
        </w:rPr>
        <w:t xml:space="preserve"> Courriel</w:t>
      </w:r>
      <w:r w:rsidR="00380147" w:rsidRPr="00632443">
        <w:rPr>
          <w:sz w:val="24"/>
        </w:rPr>
        <w:t> :</w:t>
      </w:r>
      <w:r w:rsidR="00380147">
        <w:rPr>
          <w:sz w:val="24"/>
        </w:rPr>
        <w:t xml:space="preserve"> </w:t>
      </w:r>
      <w:r w:rsidR="00380147" w:rsidRPr="00632443">
        <w:rPr>
          <w:sz w:val="24"/>
        </w:rPr>
        <w:t>Camil Girard</w:t>
      </w:r>
      <w:r w:rsidR="00380147">
        <w:rPr>
          <w:sz w:val="24"/>
        </w:rPr>
        <w:t xml:space="preserve"> : </w:t>
      </w:r>
      <w:hyperlink r:id="rId15" w:history="1">
        <w:r w:rsidR="00380147" w:rsidRPr="00632443">
          <w:rPr>
            <w:rStyle w:val="Lienhypertexte"/>
            <w:sz w:val="24"/>
          </w:rPr>
          <w:t>C</w:t>
        </w:r>
        <w:r w:rsidR="00380147" w:rsidRPr="00632443">
          <w:rPr>
            <w:rStyle w:val="Lienhypertexte"/>
            <w:sz w:val="24"/>
          </w:rPr>
          <w:t>a</w:t>
        </w:r>
        <w:r w:rsidR="00380147" w:rsidRPr="00632443">
          <w:rPr>
            <w:rStyle w:val="Lienhypertexte"/>
            <w:sz w:val="24"/>
          </w:rPr>
          <w:t>mil_Girard@uqac.ca</w:t>
        </w:r>
      </w:hyperlink>
    </w:p>
    <w:p w:rsidR="00380147" w:rsidRPr="002C6491" w:rsidRDefault="00380147">
      <w:pPr>
        <w:ind w:right="1800"/>
        <w:jc w:val="both"/>
        <w:rPr>
          <w:sz w:val="24"/>
        </w:rPr>
      </w:pPr>
    </w:p>
    <w:p w:rsidR="00380147" w:rsidRPr="00753781" w:rsidRDefault="00380147" w:rsidP="00380147">
      <w:pPr>
        <w:ind w:right="1800" w:firstLine="0"/>
        <w:jc w:val="both"/>
        <w:rPr>
          <w:sz w:val="24"/>
        </w:rPr>
      </w:pPr>
      <w:r w:rsidRPr="00753781">
        <w:rPr>
          <w:sz w:val="24"/>
        </w:rPr>
        <w:t>Polices de caractères utilisée :</w:t>
      </w:r>
    </w:p>
    <w:p w:rsidR="00380147" w:rsidRPr="00753781" w:rsidRDefault="00380147" w:rsidP="00380147">
      <w:pPr>
        <w:ind w:right="1800" w:firstLine="0"/>
        <w:jc w:val="both"/>
        <w:rPr>
          <w:sz w:val="24"/>
        </w:rPr>
      </w:pPr>
    </w:p>
    <w:p w:rsidR="00380147" w:rsidRPr="00753781" w:rsidRDefault="00380147" w:rsidP="00380147">
      <w:pPr>
        <w:ind w:left="360" w:right="360" w:firstLine="0"/>
        <w:jc w:val="both"/>
        <w:rPr>
          <w:sz w:val="24"/>
        </w:rPr>
      </w:pPr>
      <w:r w:rsidRPr="00753781">
        <w:rPr>
          <w:sz w:val="24"/>
        </w:rPr>
        <w:t>Pour le texte: Times New Roman, 14 points.</w:t>
      </w:r>
    </w:p>
    <w:p w:rsidR="00380147" w:rsidRPr="00753781" w:rsidRDefault="00380147" w:rsidP="00380147">
      <w:pPr>
        <w:ind w:left="360" w:right="360" w:firstLine="0"/>
        <w:jc w:val="both"/>
        <w:rPr>
          <w:sz w:val="24"/>
        </w:rPr>
      </w:pPr>
      <w:r w:rsidRPr="00753781">
        <w:rPr>
          <w:sz w:val="24"/>
        </w:rPr>
        <w:t>Pour les notes de bas de page : Times New Roman, 12 points.</w:t>
      </w:r>
    </w:p>
    <w:p w:rsidR="00380147" w:rsidRPr="00753781" w:rsidRDefault="00380147" w:rsidP="00380147">
      <w:pPr>
        <w:ind w:left="360" w:right="1800" w:firstLine="0"/>
        <w:jc w:val="both"/>
        <w:rPr>
          <w:sz w:val="24"/>
        </w:rPr>
      </w:pPr>
    </w:p>
    <w:p w:rsidR="00380147" w:rsidRPr="00753781" w:rsidRDefault="00380147" w:rsidP="00380147">
      <w:pPr>
        <w:ind w:right="360" w:firstLine="0"/>
        <w:jc w:val="both"/>
        <w:rPr>
          <w:sz w:val="24"/>
        </w:rPr>
      </w:pPr>
      <w:r w:rsidRPr="00753781">
        <w:rPr>
          <w:sz w:val="24"/>
        </w:rPr>
        <w:t>Édition électronique réalisée avec le traitement de textes Microsoft Word 2008 pour Macintosh.</w:t>
      </w:r>
    </w:p>
    <w:p w:rsidR="00380147" w:rsidRPr="00753781" w:rsidRDefault="00380147" w:rsidP="00380147">
      <w:pPr>
        <w:ind w:right="1800" w:firstLine="0"/>
        <w:jc w:val="both"/>
        <w:rPr>
          <w:sz w:val="24"/>
        </w:rPr>
      </w:pPr>
    </w:p>
    <w:p w:rsidR="00380147" w:rsidRPr="00753781" w:rsidRDefault="00380147" w:rsidP="00380147">
      <w:pPr>
        <w:ind w:right="540" w:firstLine="0"/>
        <w:jc w:val="both"/>
        <w:rPr>
          <w:sz w:val="24"/>
        </w:rPr>
      </w:pPr>
      <w:r w:rsidRPr="00753781">
        <w:rPr>
          <w:sz w:val="24"/>
        </w:rPr>
        <w:t>Mise en page sur papier format : LETTRE US, 8.5’’ x 11’’.</w:t>
      </w:r>
    </w:p>
    <w:p w:rsidR="00380147" w:rsidRPr="00753781" w:rsidRDefault="00380147" w:rsidP="00380147">
      <w:pPr>
        <w:ind w:right="1800" w:firstLine="0"/>
        <w:jc w:val="both"/>
        <w:rPr>
          <w:sz w:val="24"/>
        </w:rPr>
      </w:pPr>
    </w:p>
    <w:p w:rsidR="00380147" w:rsidRPr="00753781" w:rsidRDefault="00380147" w:rsidP="00380147">
      <w:pPr>
        <w:ind w:firstLine="0"/>
        <w:jc w:val="both"/>
        <w:rPr>
          <w:sz w:val="24"/>
        </w:rPr>
      </w:pPr>
      <w:r w:rsidRPr="00753781">
        <w:rPr>
          <w:sz w:val="24"/>
        </w:rPr>
        <w:t xml:space="preserve">Édition numérique réalisée le </w:t>
      </w:r>
      <w:r>
        <w:rPr>
          <w:sz w:val="24"/>
        </w:rPr>
        <w:t>12 septembre 2019 à Chicoutimi</w:t>
      </w:r>
      <w:r w:rsidRPr="00753781">
        <w:rPr>
          <w:sz w:val="24"/>
        </w:rPr>
        <w:t>, Qu</w:t>
      </w:r>
      <w:r w:rsidRPr="00753781">
        <w:rPr>
          <w:sz w:val="24"/>
        </w:rPr>
        <w:t>é</w:t>
      </w:r>
      <w:r w:rsidRPr="00753781">
        <w:rPr>
          <w:sz w:val="24"/>
        </w:rPr>
        <w:t>bec.</w:t>
      </w:r>
    </w:p>
    <w:p w:rsidR="00380147" w:rsidRDefault="00380147">
      <w:pPr>
        <w:ind w:right="1800" w:firstLine="0"/>
        <w:jc w:val="both"/>
        <w:rPr>
          <w:sz w:val="22"/>
        </w:rPr>
      </w:pPr>
    </w:p>
    <w:p w:rsidR="00380147" w:rsidRDefault="002D644A">
      <w:pPr>
        <w:ind w:right="1800" w:firstLine="0"/>
        <w:jc w:val="both"/>
      </w:pPr>
      <w:r>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380147" w:rsidRDefault="00380147" w:rsidP="00380147">
      <w:pPr>
        <w:ind w:left="20"/>
        <w:jc w:val="both"/>
      </w:pPr>
      <w:r>
        <w:br w:type="page"/>
      </w:r>
    </w:p>
    <w:p w:rsidR="00380147" w:rsidRDefault="00380147" w:rsidP="00380147">
      <w:pPr>
        <w:ind w:left="20"/>
        <w:jc w:val="both"/>
      </w:pPr>
    </w:p>
    <w:p w:rsidR="00380147" w:rsidRPr="00A84DC9" w:rsidRDefault="00380147" w:rsidP="00380147">
      <w:pPr>
        <w:ind w:firstLine="0"/>
        <w:jc w:val="center"/>
      </w:pPr>
      <w:r>
        <w:t>Camil Girard</w:t>
      </w:r>
    </w:p>
    <w:p w:rsidR="00380147" w:rsidRDefault="00380147" w:rsidP="00380147">
      <w:pPr>
        <w:ind w:firstLine="0"/>
        <w:jc w:val="center"/>
      </w:pPr>
    </w:p>
    <w:p w:rsidR="00380147" w:rsidRPr="00C34171" w:rsidRDefault="00380147" w:rsidP="00380147">
      <w:pPr>
        <w:ind w:firstLine="0"/>
        <w:jc w:val="center"/>
        <w:rPr>
          <w:color w:val="000080"/>
          <w:sz w:val="36"/>
        </w:rPr>
      </w:pPr>
      <w:r w:rsidRPr="00C34171">
        <w:rPr>
          <w:color w:val="000080"/>
          <w:sz w:val="36"/>
        </w:rPr>
        <w:t>“Un document inédit sur les droits territoriaux.</w:t>
      </w:r>
      <w:r>
        <w:rPr>
          <w:color w:val="000080"/>
          <w:sz w:val="36"/>
        </w:rPr>
        <w:br/>
      </w:r>
      <w:r w:rsidRPr="00C34171">
        <w:rPr>
          <w:color w:val="000080"/>
          <w:sz w:val="48"/>
        </w:rPr>
        <w:t>Le protêt des Innus</w:t>
      </w:r>
      <w:r w:rsidRPr="00C34171">
        <w:rPr>
          <w:color w:val="000080"/>
          <w:sz w:val="48"/>
        </w:rPr>
        <w:br/>
        <w:t>du comté Saguenay en 1851.”</w:t>
      </w:r>
    </w:p>
    <w:p w:rsidR="00380147" w:rsidRDefault="002D644A" w:rsidP="00380147">
      <w:pPr>
        <w:spacing w:before="120" w:after="120"/>
        <w:ind w:firstLine="0"/>
        <w:jc w:val="center"/>
      </w:pPr>
      <w:r>
        <w:rPr>
          <w:noProof/>
        </w:rPr>
        <w:drawing>
          <wp:inline distT="0" distB="0" distL="0" distR="0">
            <wp:extent cx="2592705" cy="3173730"/>
            <wp:effectExtent l="0" t="0" r="0" b="0"/>
            <wp:docPr id="5" name="Image 5" descr="Protet_des_Innus_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rotet_des_Innus_L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705" cy="3173730"/>
                    </a:xfrm>
                    <a:prstGeom prst="rect">
                      <a:avLst/>
                    </a:prstGeom>
                    <a:noFill/>
                    <a:ln>
                      <a:noFill/>
                    </a:ln>
                  </pic:spPr>
                </pic:pic>
              </a:graphicData>
            </a:graphic>
          </wp:inline>
        </w:drawing>
      </w:r>
    </w:p>
    <w:p w:rsidR="00380147" w:rsidRPr="009024D3" w:rsidRDefault="00380147" w:rsidP="00380147">
      <w:pPr>
        <w:ind w:firstLine="0"/>
        <w:jc w:val="both"/>
        <w:rPr>
          <w:sz w:val="24"/>
        </w:rPr>
      </w:pPr>
      <w:r>
        <w:rPr>
          <w:szCs w:val="22"/>
        </w:rPr>
        <w:t xml:space="preserve">Un article publié dans la revue </w:t>
      </w:r>
      <w:r w:rsidRPr="00C34171">
        <w:rPr>
          <w:b/>
          <w:i/>
          <w:color w:val="000090"/>
          <w:szCs w:val="22"/>
        </w:rPr>
        <w:t>Saguenayensia</w:t>
      </w:r>
      <w:r>
        <w:rPr>
          <w:szCs w:val="22"/>
        </w:rPr>
        <w:t>, vol. 45, no 1, ja</w:t>
      </w:r>
      <w:r>
        <w:rPr>
          <w:szCs w:val="22"/>
        </w:rPr>
        <w:t>n</w:t>
      </w:r>
      <w:r>
        <w:rPr>
          <w:szCs w:val="22"/>
        </w:rPr>
        <w:t>vier-mars 2003, pp. 35-42. Chicoutimi : La Société historique du Sagu</w:t>
      </w:r>
      <w:r>
        <w:rPr>
          <w:szCs w:val="22"/>
        </w:rPr>
        <w:t>e</w:t>
      </w:r>
      <w:r>
        <w:rPr>
          <w:szCs w:val="22"/>
        </w:rPr>
        <w:t>nay—Lac-St-Jean.</w:t>
      </w:r>
    </w:p>
    <w:p w:rsidR="00380147" w:rsidRDefault="00380147">
      <w:pPr>
        <w:jc w:val="both"/>
      </w:pPr>
      <w:r>
        <w:br w:type="page"/>
      </w:r>
    </w:p>
    <w:p w:rsidR="00380147" w:rsidRDefault="00380147">
      <w:pPr>
        <w:jc w:val="both"/>
      </w:pPr>
    </w:p>
    <w:p w:rsidR="00380147" w:rsidRDefault="00380147">
      <w:pPr>
        <w:jc w:val="both"/>
      </w:pPr>
    </w:p>
    <w:p w:rsidR="00380147" w:rsidRDefault="00380147" w:rsidP="00380147">
      <w:pPr>
        <w:ind w:firstLine="20"/>
        <w:jc w:val="center"/>
      </w:pPr>
      <w:bookmarkStart w:id="1" w:name="tdm"/>
      <w:r>
        <w:rPr>
          <w:color w:val="FF0000"/>
          <w:sz w:val="48"/>
        </w:rPr>
        <w:t>Table des matières</w:t>
      </w:r>
      <w:bookmarkEnd w:id="1"/>
    </w:p>
    <w:p w:rsidR="00380147" w:rsidRDefault="00380147">
      <w:pPr>
        <w:ind w:firstLine="0"/>
      </w:pPr>
    </w:p>
    <w:p w:rsidR="00380147" w:rsidRDefault="00380147">
      <w:pPr>
        <w:ind w:firstLine="0"/>
      </w:pPr>
    </w:p>
    <w:p w:rsidR="00380147" w:rsidRDefault="00380147">
      <w:pPr>
        <w:ind w:firstLine="0"/>
      </w:pPr>
      <w:hyperlink w:anchor="protet_1851_intro" w:history="1">
        <w:r w:rsidRPr="00C5466B">
          <w:rPr>
            <w:rStyle w:val="Lienhypertexte"/>
          </w:rPr>
          <w:t>Introduction</w:t>
        </w:r>
      </w:hyperlink>
    </w:p>
    <w:p w:rsidR="00380147" w:rsidRDefault="00380147">
      <w:pPr>
        <w:ind w:firstLine="0"/>
      </w:pPr>
    </w:p>
    <w:p w:rsidR="00380147" w:rsidRPr="00C40B26" w:rsidRDefault="00380147" w:rsidP="00380147">
      <w:pPr>
        <w:spacing w:after="120"/>
        <w:ind w:left="547" w:hanging="547"/>
      </w:pPr>
      <w:hyperlink w:anchor="protet_1851_1" w:history="1">
        <w:r w:rsidRPr="00C5466B">
          <w:rPr>
            <w:rStyle w:val="Lienhypertexte"/>
          </w:rPr>
          <w:t>Quelques rappels sur l'histoire des alliances entre les Innus et la Co</w:t>
        </w:r>
        <w:r w:rsidRPr="00C5466B">
          <w:rPr>
            <w:rStyle w:val="Lienhypertexte"/>
          </w:rPr>
          <w:t>u</w:t>
        </w:r>
        <w:r w:rsidRPr="00C5466B">
          <w:rPr>
            <w:rStyle w:val="Lienhypertexte"/>
          </w:rPr>
          <w:t>ronne</w:t>
        </w:r>
      </w:hyperlink>
    </w:p>
    <w:p w:rsidR="00380147" w:rsidRPr="00A77659" w:rsidRDefault="00380147" w:rsidP="00380147">
      <w:pPr>
        <w:spacing w:after="120"/>
        <w:ind w:left="547" w:hanging="547"/>
        <w:rPr>
          <w:i/>
        </w:rPr>
      </w:pPr>
      <w:hyperlink w:anchor="protet_1851_2" w:history="1">
        <w:r w:rsidRPr="00C5466B">
          <w:rPr>
            <w:rStyle w:val="Lienhypertexte"/>
            <w:i/>
          </w:rPr>
          <w:t>Le protêt logé par les Innus du Saguenay le 16 juillet 1851</w:t>
        </w:r>
      </w:hyperlink>
      <w:r w:rsidRPr="00A77659">
        <w:rPr>
          <w:i/>
        </w:rPr>
        <w:t xml:space="preserve"> </w:t>
      </w:r>
    </w:p>
    <w:p w:rsidR="00380147" w:rsidRPr="00C45CD5" w:rsidRDefault="00380147" w:rsidP="00380147">
      <w:pPr>
        <w:spacing w:after="120"/>
        <w:ind w:left="547" w:hanging="547"/>
        <w:rPr>
          <w:i/>
        </w:rPr>
      </w:pPr>
      <w:hyperlink w:anchor="protet_1851_3" w:history="1">
        <w:r w:rsidRPr="00C5466B">
          <w:rPr>
            <w:rStyle w:val="Lienhypertexte"/>
            <w:i/>
          </w:rPr>
          <w:t>Acte de procuration</w:t>
        </w:r>
      </w:hyperlink>
    </w:p>
    <w:p w:rsidR="00380147" w:rsidRPr="00C45CD5" w:rsidRDefault="00380147" w:rsidP="00380147">
      <w:pPr>
        <w:spacing w:after="120"/>
        <w:ind w:left="547" w:hanging="547"/>
        <w:rPr>
          <w:i/>
        </w:rPr>
      </w:pPr>
      <w:hyperlink w:anchor="protet_1851_4" w:history="1">
        <w:r w:rsidRPr="00C5466B">
          <w:rPr>
            <w:rStyle w:val="Lienhypertexte"/>
            <w:i/>
          </w:rPr>
          <w:t>La question autochtone au Québec depuis 25 ans : quelques rappels.</w:t>
        </w:r>
      </w:hyperlink>
    </w:p>
    <w:p w:rsidR="00380147" w:rsidRPr="00C40B26" w:rsidRDefault="00380147" w:rsidP="00380147">
      <w:pPr>
        <w:spacing w:after="120"/>
        <w:ind w:left="547" w:hanging="547"/>
      </w:pPr>
      <w:hyperlink w:anchor="protet_1851_5" w:history="1">
        <w:r w:rsidRPr="00C5466B">
          <w:rPr>
            <w:rStyle w:val="Lienhypertexte"/>
          </w:rPr>
          <w:t>Le contexte dans lequel le Protêt de 1851 est logé</w:t>
        </w:r>
      </w:hyperlink>
    </w:p>
    <w:p w:rsidR="00380147" w:rsidRPr="00C40B26" w:rsidRDefault="00380147" w:rsidP="00380147">
      <w:pPr>
        <w:spacing w:after="120"/>
        <w:ind w:left="547" w:hanging="547"/>
      </w:pPr>
      <w:hyperlink w:anchor="protet_1851_6" w:history="1">
        <w:r w:rsidRPr="00C5466B">
          <w:rPr>
            <w:rStyle w:val="Lienhypertexte"/>
          </w:rPr>
          <w:t>Mise en contexte</w:t>
        </w:r>
      </w:hyperlink>
    </w:p>
    <w:p w:rsidR="00380147" w:rsidRPr="00C40B26" w:rsidRDefault="00380147" w:rsidP="00380147">
      <w:pPr>
        <w:spacing w:after="120"/>
        <w:ind w:left="547" w:hanging="547"/>
      </w:pPr>
      <w:hyperlink w:anchor="protet_1851_7" w:history="1">
        <w:r w:rsidRPr="00C5466B">
          <w:rPr>
            <w:rStyle w:val="Lienhypertexte"/>
          </w:rPr>
          <w:t>Les Innus au milieu du XIX</w:t>
        </w:r>
        <w:r w:rsidRPr="00C5466B">
          <w:rPr>
            <w:rStyle w:val="Lienhypertexte"/>
            <w:vertAlign w:val="superscript"/>
          </w:rPr>
          <w:t>e</w:t>
        </w:r>
        <w:r w:rsidRPr="00C5466B">
          <w:rPr>
            <w:rStyle w:val="Lienhypertexte"/>
          </w:rPr>
          <w:t xml:space="preserve"> siècle</w:t>
        </w:r>
      </w:hyperlink>
    </w:p>
    <w:p w:rsidR="00380147" w:rsidRDefault="00380147" w:rsidP="00380147">
      <w:pPr>
        <w:spacing w:after="120"/>
        <w:ind w:left="547" w:hanging="547"/>
      </w:pPr>
    </w:p>
    <w:p w:rsidR="00380147" w:rsidRPr="00C40B26" w:rsidRDefault="00380147" w:rsidP="00380147">
      <w:pPr>
        <w:spacing w:after="120"/>
        <w:ind w:left="547" w:hanging="547"/>
      </w:pPr>
      <w:hyperlink w:anchor="protet_1851_conclusion" w:history="1">
        <w:r w:rsidRPr="00C5466B">
          <w:rPr>
            <w:rStyle w:val="Lienhypertexte"/>
          </w:rPr>
          <w:t>Conclusion</w:t>
        </w:r>
      </w:hyperlink>
    </w:p>
    <w:p w:rsidR="00380147" w:rsidRPr="00C40B26" w:rsidRDefault="00380147" w:rsidP="00380147">
      <w:pPr>
        <w:spacing w:after="120"/>
        <w:ind w:left="547" w:hanging="547"/>
      </w:pPr>
      <w:hyperlink w:anchor="protet_1851_biblio" w:history="1">
        <w:r w:rsidRPr="00E219E1">
          <w:rPr>
            <w:rStyle w:val="Lienhypertexte"/>
          </w:rPr>
          <w:t>Bibliographie</w:t>
        </w:r>
      </w:hyperlink>
    </w:p>
    <w:p w:rsidR="00380147" w:rsidRDefault="00380147" w:rsidP="00380147">
      <w:pPr>
        <w:jc w:val="both"/>
      </w:pPr>
      <w:r>
        <w:br w:type="page"/>
      </w:r>
    </w:p>
    <w:p w:rsidR="00380147" w:rsidRDefault="00380147" w:rsidP="00380147">
      <w:pPr>
        <w:jc w:val="both"/>
      </w:pPr>
    </w:p>
    <w:p w:rsidR="00380147" w:rsidRPr="00C34171" w:rsidRDefault="00380147" w:rsidP="00380147">
      <w:pPr>
        <w:ind w:firstLine="0"/>
        <w:jc w:val="center"/>
        <w:rPr>
          <w:sz w:val="36"/>
        </w:rPr>
      </w:pPr>
      <w:r w:rsidRPr="00C34171">
        <w:rPr>
          <w:sz w:val="36"/>
        </w:rPr>
        <w:t>Camil Girard</w:t>
      </w:r>
    </w:p>
    <w:p w:rsidR="00380147" w:rsidRPr="00C34171" w:rsidRDefault="00380147" w:rsidP="00380147">
      <w:pPr>
        <w:ind w:firstLine="0"/>
        <w:jc w:val="center"/>
        <w:rPr>
          <w:sz w:val="24"/>
          <w:lang w:bidi="ar-SA"/>
        </w:rPr>
      </w:pPr>
      <w:r w:rsidRPr="00C34171">
        <w:rPr>
          <w:sz w:val="24"/>
          <w:lang w:bidi="ar-SA"/>
        </w:rPr>
        <w:t>Dr en histoire</w:t>
      </w:r>
      <w:r w:rsidRPr="00C34171">
        <w:rPr>
          <w:sz w:val="24"/>
          <w:lang w:bidi="ar-SA"/>
        </w:rPr>
        <w:br/>
        <w:t>Groupe de recherche sur l'histoire</w:t>
      </w:r>
      <w:r>
        <w:rPr>
          <w:sz w:val="24"/>
          <w:lang w:bidi="ar-SA"/>
        </w:rPr>
        <w:t xml:space="preserve"> </w:t>
      </w:r>
      <w:r w:rsidRPr="00C34171">
        <w:rPr>
          <w:sz w:val="24"/>
          <w:lang w:bidi="ar-SA"/>
        </w:rPr>
        <w:t>ARUC monts Valin–monts Otish</w:t>
      </w:r>
    </w:p>
    <w:p w:rsidR="00380147" w:rsidRDefault="00380147" w:rsidP="00380147">
      <w:pPr>
        <w:ind w:firstLine="0"/>
        <w:jc w:val="center"/>
        <w:rPr>
          <w:sz w:val="24"/>
          <w:lang w:bidi="ar-SA"/>
        </w:rPr>
      </w:pPr>
      <w:r w:rsidRPr="00C34171">
        <w:rPr>
          <w:sz w:val="24"/>
          <w:lang w:bidi="ar-SA"/>
        </w:rPr>
        <w:t>Université du Québec à Chicoutimi</w:t>
      </w:r>
    </w:p>
    <w:p w:rsidR="00380147" w:rsidRDefault="00380147" w:rsidP="00380147">
      <w:pPr>
        <w:ind w:firstLine="0"/>
        <w:jc w:val="center"/>
      </w:pPr>
    </w:p>
    <w:p w:rsidR="00380147" w:rsidRPr="00C34171" w:rsidRDefault="00380147" w:rsidP="00380147">
      <w:pPr>
        <w:ind w:firstLine="0"/>
        <w:jc w:val="center"/>
        <w:rPr>
          <w:color w:val="000080"/>
          <w:sz w:val="36"/>
        </w:rPr>
      </w:pPr>
      <w:r w:rsidRPr="00C34171">
        <w:rPr>
          <w:color w:val="000080"/>
          <w:sz w:val="36"/>
        </w:rPr>
        <w:t>“Un document inédit sur les droits territoriaux.</w:t>
      </w:r>
      <w:r>
        <w:rPr>
          <w:color w:val="000080"/>
          <w:sz w:val="36"/>
        </w:rPr>
        <w:br/>
      </w:r>
      <w:r w:rsidRPr="00C34171">
        <w:rPr>
          <w:color w:val="000080"/>
          <w:sz w:val="48"/>
        </w:rPr>
        <w:t>Le protêt des Innus</w:t>
      </w:r>
      <w:r w:rsidRPr="00C34171">
        <w:rPr>
          <w:color w:val="000080"/>
          <w:sz w:val="48"/>
        </w:rPr>
        <w:br/>
        <w:t>du comté Saguenay en 1851.”</w:t>
      </w:r>
    </w:p>
    <w:p w:rsidR="00380147" w:rsidRDefault="00380147" w:rsidP="00380147">
      <w:pPr>
        <w:ind w:firstLine="0"/>
        <w:jc w:val="center"/>
      </w:pPr>
    </w:p>
    <w:p w:rsidR="00380147" w:rsidRPr="009024D3" w:rsidRDefault="00380147" w:rsidP="00380147">
      <w:pPr>
        <w:ind w:firstLine="0"/>
        <w:jc w:val="both"/>
        <w:rPr>
          <w:sz w:val="24"/>
        </w:rPr>
      </w:pPr>
      <w:r>
        <w:rPr>
          <w:szCs w:val="22"/>
        </w:rPr>
        <w:t xml:space="preserve">Un article publié dans la revue </w:t>
      </w:r>
      <w:r w:rsidRPr="00C34171">
        <w:rPr>
          <w:b/>
          <w:i/>
          <w:color w:val="000090"/>
          <w:szCs w:val="22"/>
        </w:rPr>
        <w:t>Saguenayensia</w:t>
      </w:r>
      <w:r>
        <w:rPr>
          <w:szCs w:val="22"/>
        </w:rPr>
        <w:t>, vol. 45, no 1, ja</w:t>
      </w:r>
      <w:r>
        <w:rPr>
          <w:szCs w:val="22"/>
        </w:rPr>
        <w:t>n</w:t>
      </w:r>
      <w:r>
        <w:rPr>
          <w:szCs w:val="22"/>
        </w:rPr>
        <w:t>vier-mars 2003, pp. 35-42. Chicoutimi : La Société historique du Sagu</w:t>
      </w:r>
      <w:r>
        <w:rPr>
          <w:szCs w:val="22"/>
        </w:rPr>
        <w:t>e</w:t>
      </w:r>
      <w:r>
        <w:rPr>
          <w:szCs w:val="22"/>
        </w:rPr>
        <w:t>nay—Lac-St-Jean.</w:t>
      </w:r>
    </w:p>
    <w:p w:rsidR="00380147" w:rsidRDefault="00380147">
      <w:pPr>
        <w:jc w:val="both"/>
      </w:pPr>
    </w:p>
    <w:p w:rsidR="00380147" w:rsidRDefault="00380147">
      <w:pPr>
        <w:jc w:val="both"/>
      </w:pPr>
    </w:p>
    <w:p w:rsidR="00380147" w:rsidRDefault="00380147" w:rsidP="00380147">
      <w:pPr>
        <w:pStyle w:val="planche"/>
      </w:pPr>
      <w:bookmarkStart w:id="2" w:name="protet_1851_intro"/>
      <w:r>
        <w:t>Introduction</w:t>
      </w:r>
    </w:p>
    <w:bookmarkEnd w:id="2"/>
    <w:p w:rsidR="00380147" w:rsidRDefault="00380147">
      <w:pPr>
        <w:jc w:val="both"/>
      </w:pPr>
    </w:p>
    <w:p w:rsidR="00380147" w:rsidRDefault="00380147">
      <w:pPr>
        <w:jc w:val="both"/>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Le document qui est analysé ici et dont une transcription intégrale est pr</w:t>
      </w:r>
      <w:r w:rsidRPr="00F603DF">
        <w:t>o</w:t>
      </w:r>
      <w:r w:rsidRPr="00F603DF">
        <w:t>duite s'insère dans un ensemble de requêtes que les Innus-Montagnais ont fait parvenir à divers intervenants au cours de leur histoire afin de manifester leurs droits sur leurs terres.</w:t>
      </w:r>
      <w:r>
        <w:t> </w:t>
      </w:r>
      <w:r>
        <w:rPr>
          <w:rStyle w:val="Appelnotedebasdep"/>
        </w:rPr>
        <w:footnoteReference w:id="1"/>
      </w:r>
      <w:r w:rsidRPr="00F603DF">
        <w:t xml:space="preserve"> La produ</w:t>
      </w:r>
      <w:r w:rsidRPr="00F603DF">
        <w:t>c</w:t>
      </w:r>
      <w:r w:rsidRPr="00F603DF">
        <w:t>tion d'un tel protêt confirme que les Innus n'ont jamais cédé leurs te</w:t>
      </w:r>
      <w:r w:rsidRPr="00F603DF">
        <w:t>r</w:t>
      </w:r>
      <w:r w:rsidRPr="00F603DF">
        <w:t>res depuis les premiers contacts avec la France au début du XVII</w:t>
      </w:r>
      <w:r w:rsidRPr="00E26005">
        <w:rPr>
          <w:vertAlign w:val="superscript"/>
        </w:rPr>
        <w:t>e</w:t>
      </w:r>
      <w:r w:rsidRPr="00F603DF">
        <w:t xml:space="preserve"> si</w:t>
      </w:r>
      <w:r w:rsidRPr="00F603DF">
        <w:t>è</w:t>
      </w:r>
      <w:r w:rsidRPr="00F603DF">
        <w:t>cle. Dans le contexte de la reconnaissance des droits ancestraux des Pr</w:t>
      </w:r>
      <w:r w:rsidRPr="00F603DF">
        <w:t>e</w:t>
      </w:r>
      <w:r w:rsidRPr="00F603DF">
        <w:t>mières nations dans la Constitution canadienne de 1982, un tel doc</w:t>
      </w:r>
      <w:r w:rsidRPr="00F603DF">
        <w:t>u</w:t>
      </w:r>
      <w:r w:rsidRPr="00F603DF">
        <w:t>ment apparaît d'une grande importance pour les Innus.</w:t>
      </w:r>
    </w:p>
    <w:p w:rsidR="00380147" w:rsidRPr="00F603DF" w:rsidRDefault="00380147" w:rsidP="00380147">
      <w:pPr>
        <w:spacing w:before="120" w:after="120"/>
        <w:jc w:val="both"/>
      </w:pPr>
      <w:r w:rsidRPr="00F603DF">
        <w:t>Dans cet article, nous jetons d'abord un bref regard sur le cadre g</w:t>
      </w:r>
      <w:r w:rsidRPr="00F603DF">
        <w:t>é</w:t>
      </w:r>
      <w:r w:rsidRPr="00F603DF">
        <w:t xml:space="preserve">néral des relations politiques et diplomatiques qui ont lié les Innus et </w:t>
      </w:r>
      <w:r w:rsidRPr="00F603DF">
        <w:lastRenderedPageBreak/>
        <w:t>les divers gouve</w:t>
      </w:r>
      <w:r w:rsidRPr="00F603DF">
        <w:t>r</w:t>
      </w:r>
      <w:r w:rsidRPr="00F603DF">
        <w:t>nements depuis la première alliance de 1603 sur les bords de Tadoussac. Une deuxième partie analyse la conjoncture qui précède la production du protêt. Après avoir analysé le contenu du document, nous concluons sur une interpr</w:t>
      </w:r>
      <w:r w:rsidRPr="00F603DF">
        <w:t>é</w:t>
      </w:r>
      <w:r w:rsidRPr="00F603DF">
        <w:t>tation qui a pour but de soulever quelques questions sur l'incertitude que susc</w:t>
      </w:r>
      <w:r w:rsidRPr="00F603DF">
        <w:t>i</w:t>
      </w:r>
      <w:r w:rsidRPr="00F603DF">
        <w:t>te la mise à jour d'une telle preuve dans un contexte de revendications histor</w:t>
      </w:r>
      <w:r w:rsidRPr="00F603DF">
        <w:t>i</w:t>
      </w:r>
      <w:r w:rsidRPr="00F603DF">
        <w:t>ques des autochtones.</w:t>
      </w:r>
    </w:p>
    <w:p w:rsidR="00380147" w:rsidRPr="00F603DF" w:rsidRDefault="00380147" w:rsidP="00380147">
      <w:pPr>
        <w:spacing w:before="120" w:after="120"/>
        <w:jc w:val="both"/>
      </w:pPr>
    </w:p>
    <w:p w:rsidR="00380147" w:rsidRPr="00F603DF" w:rsidRDefault="00380147" w:rsidP="00380147">
      <w:pPr>
        <w:pStyle w:val="planche"/>
      </w:pPr>
      <w:bookmarkStart w:id="3" w:name="protet_1851_1"/>
      <w:r w:rsidRPr="00F603DF">
        <w:t>Quelques rappe</w:t>
      </w:r>
      <w:r>
        <w:t>ls sur l'histoire des alliances</w:t>
      </w:r>
      <w:r>
        <w:br/>
      </w:r>
      <w:r w:rsidRPr="00F603DF">
        <w:t>entre les Innus et la Co</w:t>
      </w:r>
      <w:r w:rsidRPr="00F603DF">
        <w:t>u</w:t>
      </w:r>
      <w:r w:rsidRPr="00F603DF">
        <w:t>ronne</w:t>
      </w:r>
    </w:p>
    <w:bookmarkEnd w:id="3"/>
    <w:p w:rsidR="00380147" w:rsidRPr="00F603DF" w:rsidRDefault="00380147" w:rsidP="00380147">
      <w:pPr>
        <w:spacing w:before="120" w:after="120"/>
        <w:jc w:val="both"/>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Nous pourrions affirmer que trois grandes périodes caractérisent les rel</w:t>
      </w:r>
      <w:r w:rsidRPr="00F603DF">
        <w:t>a</w:t>
      </w:r>
      <w:r w:rsidRPr="00F603DF">
        <w:t xml:space="preserve">tions entre les Innus du Saguenay et les Couronnes au cour de leur histoire commune. La première qui s'échelonne de 1603 à 1842 est marquée par des rapports de respects mutuels où la souveraineté de chacun est assumée. </w:t>
      </w:r>
      <w:r>
        <w:t>À</w:t>
      </w:r>
      <w:r w:rsidRPr="00F603DF">
        <w:t xml:space="preserve"> pa</w:t>
      </w:r>
      <w:r w:rsidRPr="00F603DF">
        <w:t>r</w:t>
      </w:r>
      <w:r w:rsidRPr="00F603DF">
        <w:t>tir des années 1840 jusqu'à 1982 avec la création des réserves, la souveraineté autochtone est usurpée. Depuis 1982, à la suite de nombreux jugements qui ont confirmé la portée de la constitution dans la reconnaissance et la confirm</w:t>
      </w:r>
      <w:r w:rsidRPr="00F603DF">
        <w:t>a</w:t>
      </w:r>
      <w:r w:rsidRPr="00F603DF">
        <w:t>tion des droits ancestraux, les gouvernements et en particulier le gouvern</w:t>
      </w:r>
      <w:r w:rsidRPr="00F603DF">
        <w:t>e</w:t>
      </w:r>
      <w:r w:rsidRPr="00F603DF">
        <w:t>ment du Québec, reconnaît le caractère distinct des Premières nations autoc</w:t>
      </w:r>
      <w:r w:rsidRPr="00F603DF">
        <w:t>h</w:t>
      </w:r>
      <w:r w:rsidRPr="00F603DF">
        <w:t>tones et leur assure la mise en place de gouvernements autonomes dans ces spécificités liées à leur culture (Innu Aitun ou pratique trad</w:t>
      </w:r>
      <w:r w:rsidRPr="00F603DF">
        <w:t>i</w:t>
      </w:r>
      <w:r w:rsidRPr="00F603DF">
        <w:t xml:space="preserve">tionnelle innue). </w:t>
      </w:r>
    </w:p>
    <w:p w:rsidR="00380147" w:rsidRPr="00F603DF" w:rsidRDefault="00380147" w:rsidP="00380147">
      <w:pPr>
        <w:spacing w:before="120" w:after="120"/>
        <w:jc w:val="both"/>
      </w:pPr>
      <w:r w:rsidRPr="00F603DF">
        <w:t>Le 27 mai 1603, près de Tadoussac, Samuel de Champlain, Fra</w:t>
      </w:r>
      <w:r w:rsidRPr="00F603DF">
        <w:t>n</w:t>
      </w:r>
      <w:r w:rsidRPr="00F603DF">
        <w:t>çois Gravé Du Pont, commandant, et Anadabijou, grand chef des Montagnais, jettent les bases des alliances franco-indienne lors de c</w:t>
      </w:r>
      <w:r w:rsidRPr="00F603DF">
        <w:t>é</w:t>
      </w:r>
      <w:r w:rsidRPr="00F603DF">
        <w:t>lébrations protocolaires. Il rencontre, le 9 juin, les alliés des Mont</w:t>
      </w:r>
      <w:r w:rsidRPr="00F603DF">
        <w:t>a</w:t>
      </w:r>
      <w:r w:rsidRPr="00F603DF">
        <w:t>gnais, les Algonquins et leur chef Te</w:t>
      </w:r>
      <w:r w:rsidRPr="00F603DF">
        <w:t>s</w:t>
      </w:r>
      <w:r w:rsidRPr="00F603DF">
        <w:t>souat ainsi que les Etchemins (Malécites).</w:t>
      </w:r>
    </w:p>
    <w:p w:rsidR="00380147" w:rsidRPr="00F603DF" w:rsidRDefault="00380147" w:rsidP="00380147">
      <w:pPr>
        <w:spacing w:before="120" w:after="120"/>
        <w:jc w:val="both"/>
      </w:pPr>
      <w:r>
        <w:t>À</w:t>
      </w:r>
      <w:r w:rsidRPr="00F603DF">
        <w:t xml:space="preserve"> la suite du voyage de Champlain, le roi de France, Henri IV, modifie la Commission générale sur le nouveau territoire (8 novembre 1603). Il y précise pour la première fois dans une Commission génér</w:t>
      </w:r>
      <w:r w:rsidRPr="00F603DF">
        <w:t>a</w:t>
      </w:r>
      <w:r>
        <w:t>le qu'il faut : “</w:t>
      </w:r>
      <w:r w:rsidRPr="00F603DF">
        <w:rPr>
          <w:b/>
        </w:rPr>
        <w:t>Traiter et contracter à méme effet paix, alliance</w:t>
      </w:r>
      <w:r w:rsidRPr="00F603DF">
        <w:t xml:space="preserve"> &amp; confederation, bonne amitié, co</w:t>
      </w:r>
      <w:r w:rsidRPr="00F603DF">
        <w:t>r</w:t>
      </w:r>
      <w:r w:rsidRPr="00F603DF">
        <w:t xml:space="preserve">respondance &amp; communication avec </w:t>
      </w:r>
      <w:r w:rsidRPr="00F603DF">
        <w:lastRenderedPageBreak/>
        <w:t>lesdits peuples &amp; leurs Princes, ou autres ayans pouvoir &amp; comma</w:t>
      </w:r>
      <w:r w:rsidRPr="00F603DF">
        <w:t>n</w:t>
      </w:r>
      <w:r w:rsidRPr="00F603DF">
        <w:t xml:space="preserve">dement sur eux: Entretenir, </w:t>
      </w:r>
      <w:r w:rsidRPr="00F603DF">
        <w:rPr>
          <w:b/>
        </w:rPr>
        <w:t>garder et soigneus</w:t>
      </w:r>
      <w:r w:rsidRPr="00F603DF">
        <w:rPr>
          <w:b/>
        </w:rPr>
        <w:t>e</w:t>
      </w:r>
      <w:r w:rsidRPr="00F603DF">
        <w:rPr>
          <w:b/>
        </w:rPr>
        <w:t>ment observer les traittés &amp; alliances</w:t>
      </w:r>
      <w:r w:rsidRPr="00F603DF">
        <w:t xml:space="preserve"> dont vous conviëdrés avec eux: pou</w:t>
      </w:r>
      <w:r w:rsidRPr="00F603DF">
        <w:t>r</w:t>
      </w:r>
      <w:r w:rsidRPr="00F603DF">
        <w:t>veu qu</w:t>
      </w:r>
      <w:r>
        <w:t>'ils y satisfacent de leur part</w:t>
      </w:r>
      <w:r w:rsidRPr="00F603DF">
        <w:t>”. (Girard, Gagné, 1995; Girard, D'Av</w:t>
      </w:r>
      <w:r w:rsidRPr="00F603DF">
        <w:t>i</w:t>
      </w:r>
      <w:r w:rsidRPr="00F603DF">
        <w:t xml:space="preserve">gnon, 2000; pour un point de vue innu sur le sujet, Kurtness, 2000, p. 131; Dionne, 1984) </w:t>
      </w:r>
    </w:p>
    <w:p w:rsidR="00380147" w:rsidRPr="00F603DF" w:rsidRDefault="00380147" w:rsidP="00380147">
      <w:pPr>
        <w:spacing w:before="120" w:after="120"/>
        <w:jc w:val="both"/>
      </w:pPr>
      <w:r w:rsidRPr="00F603DF">
        <w:t xml:space="preserve">La création de la Traite de Tadoussac dit Domaine du Roi de 1652 précise le partenariat entre la Couronne et les “Indiens” qui occupent leur territoire ancestral. (Girard, Perron, 1995, p. 86) </w:t>
      </w:r>
    </w:p>
    <w:p w:rsidR="00380147" w:rsidRPr="00F603DF" w:rsidRDefault="00380147" w:rsidP="00380147">
      <w:pPr>
        <w:spacing w:before="120" w:after="120"/>
        <w:jc w:val="both"/>
      </w:pPr>
      <w:r w:rsidRPr="00F603DF">
        <w:t xml:space="preserve">Les Montagnais ne sont pas signataires de la Grande Paix de 1701. Ils sont, comme les Hurons, les plus vieux alliés des Français ce qui peut expliquer qu'ils n'aient pas à signer un tel traité de paix. (Havard, 1992) </w:t>
      </w:r>
    </w:p>
    <w:p w:rsidR="00380147" w:rsidRPr="00F603DF" w:rsidRDefault="00380147" w:rsidP="00380147">
      <w:pPr>
        <w:spacing w:before="120" w:after="120"/>
        <w:jc w:val="both"/>
      </w:pPr>
      <w:r>
        <w:t>À</w:t>
      </w:r>
      <w:r w:rsidRPr="00F603DF">
        <w:t xml:space="preserve"> la suite de la Conquête de 1760, la Couronne britannique cont</w:t>
      </w:r>
      <w:r w:rsidRPr="00F603DF">
        <w:t>i</w:t>
      </w:r>
      <w:r w:rsidRPr="00F603DF">
        <w:t>nue de g</w:t>
      </w:r>
      <w:r w:rsidRPr="00F603DF">
        <w:t>é</w:t>
      </w:r>
      <w:r w:rsidRPr="00F603DF">
        <w:t>rer le King’s Domain ou les King’s Posts en continuité avec la politique fra</w:t>
      </w:r>
      <w:r w:rsidRPr="00F603DF">
        <w:t>n</w:t>
      </w:r>
      <w:r w:rsidRPr="00F603DF">
        <w:t>çaise. James Murray reconnaît, à titre de gouverneur en chef de la province de Québec, que cette partie du Domaine du Roi est un territoire indien qui n'a jamais été cédé ni acheté par les Co</w:t>
      </w:r>
      <w:r w:rsidRPr="00F603DF">
        <w:t>u</w:t>
      </w:r>
      <w:r w:rsidRPr="00F603DF">
        <w:t>ronnes et qui reste réservé comme “terr</w:t>
      </w:r>
      <w:r w:rsidRPr="00F603DF">
        <w:t>i</w:t>
      </w:r>
      <w:r w:rsidRPr="00F603DF">
        <w:t>toire de chasse des sauvages”. Ainsi, il affirme que :</w:t>
      </w:r>
    </w:p>
    <w:p w:rsidR="00380147" w:rsidRDefault="00380147" w:rsidP="00380147">
      <w:pPr>
        <w:pStyle w:val="Grillecouleur-Accent1"/>
      </w:pPr>
    </w:p>
    <w:p w:rsidR="00380147" w:rsidRDefault="00380147" w:rsidP="00380147">
      <w:pPr>
        <w:pStyle w:val="Grillecouleur-Accent1"/>
      </w:pPr>
      <w:r>
        <w:t>“</w:t>
      </w:r>
      <w:r w:rsidRPr="00F603DF">
        <w:rPr>
          <w:b/>
        </w:rPr>
        <w:t>Les terres du Domaine</w:t>
      </w:r>
      <w:r w:rsidRPr="00F603DF">
        <w:t xml:space="preserve"> du roi (en l’occurrence ici la Traite de Tadou</w:t>
      </w:r>
      <w:r w:rsidRPr="00F603DF">
        <w:t>s</w:t>
      </w:r>
      <w:r w:rsidRPr="00F603DF">
        <w:t>sac</w:t>
      </w:r>
      <w:r w:rsidRPr="00F603DF">
        <w:rPr>
          <w:b/>
        </w:rPr>
        <w:t>) n’ont jamais été cédées au roi de France ni achetées par lui, ou par Sa Majesté britannique</w:t>
      </w:r>
      <w:r w:rsidRPr="00F603DF">
        <w:t>… Par conséquent, les terres du Domaine sont en prat</w:t>
      </w:r>
      <w:r w:rsidRPr="00F603DF">
        <w:t>i</w:t>
      </w:r>
      <w:r w:rsidRPr="00F603DF">
        <w:t>que réservées à titre de territoire de chasse des sauvages, que ceux-ci protègent jalousement dès qu’il y a la moindre apparence d'empi</w:t>
      </w:r>
      <w:r w:rsidRPr="00F603DF">
        <w:t>é</w:t>
      </w:r>
      <w:r w:rsidRPr="00F603DF">
        <w:t>tement, même entre eux.” (Traduction, Michel Morin, 1997, p. 145; Schulze, 1998 pour une vue plus globale sur la Proclamation)</w:t>
      </w:r>
    </w:p>
    <w:p w:rsidR="00380147" w:rsidRPr="00F603DF" w:rsidRDefault="00380147" w:rsidP="00380147">
      <w:pPr>
        <w:pStyle w:val="Grillecouleur-Accent1"/>
      </w:pPr>
    </w:p>
    <w:p w:rsidR="00380147" w:rsidRPr="00F603DF" w:rsidRDefault="00380147" w:rsidP="00380147">
      <w:pPr>
        <w:spacing w:before="120" w:after="120"/>
        <w:jc w:val="both"/>
      </w:pPr>
      <w:r w:rsidRPr="00F603DF">
        <w:t>Avec l’ouverture de la région à la propriété privée et à l’agriculture à partir des années 1840, les Montagnais protestent à plusieurs occ</w:t>
      </w:r>
      <w:r w:rsidRPr="00F603DF">
        <w:t>a</w:t>
      </w:r>
      <w:r w:rsidRPr="00F603DF">
        <w:t xml:space="preserve">sions contre le fait que leurs terres ancestrales sont vendues sans leur accord. </w:t>
      </w:r>
      <w:r w:rsidRPr="00F603DF">
        <w:rPr>
          <w:b/>
        </w:rPr>
        <w:t>Jusqu'à la création du Canada-Uni, le peuplement du D</w:t>
      </w:r>
      <w:r w:rsidRPr="00F603DF">
        <w:rPr>
          <w:b/>
        </w:rPr>
        <w:t>o</w:t>
      </w:r>
      <w:r w:rsidRPr="00F603DF">
        <w:rPr>
          <w:b/>
        </w:rPr>
        <w:t>maine du Roi et des King's Posts n'a jamais été autorisé par les Couronnes, à l'exception des postes de traites ou de quelques se</w:t>
      </w:r>
      <w:r w:rsidRPr="00F603DF">
        <w:rPr>
          <w:b/>
        </w:rPr>
        <w:t>i</w:t>
      </w:r>
      <w:r w:rsidRPr="00F603DF">
        <w:rPr>
          <w:b/>
        </w:rPr>
        <w:t>gneuries situées le long du fleuve Saint-Laurent.</w:t>
      </w:r>
    </w:p>
    <w:p w:rsidR="00380147" w:rsidRDefault="00380147" w:rsidP="00380147">
      <w:pPr>
        <w:spacing w:before="120" w:after="120"/>
        <w:jc w:val="both"/>
      </w:pPr>
    </w:p>
    <w:p w:rsidR="00380147" w:rsidRPr="00C5466B" w:rsidRDefault="00380147" w:rsidP="00380147">
      <w:pPr>
        <w:spacing w:before="120" w:after="120"/>
        <w:jc w:val="both"/>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380147">
        <w:tc>
          <w:tcPr>
            <w:tcW w:w="8060" w:type="dxa"/>
            <w:shd w:val="clear" w:color="auto" w:fill="EAF1DD"/>
          </w:tcPr>
          <w:p w:rsidR="00380147" w:rsidRDefault="00380147" w:rsidP="00380147">
            <w:pPr>
              <w:spacing w:before="120" w:after="120"/>
              <w:ind w:firstLine="0"/>
              <w:jc w:val="both"/>
            </w:pPr>
          </w:p>
          <w:p w:rsidR="00380147" w:rsidRPr="006223DE" w:rsidRDefault="00380147" w:rsidP="00380147">
            <w:pPr>
              <w:pStyle w:val="Niveau12"/>
              <w:rPr>
                <w:sz w:val="24"/>
              </w:rPr>
            </w:pPr>
            <w:r w:rsidRPr="00F603DF">
              <w:t>Le protêt</w:t>
            </w:r>
            <w:r>
              <w:t xml:space="preserve"> logé par les Innus du Saguenay</w:t>
            </w:r>
            <w:r>
              <w:br/>
            </w:r>
            <w:r w:rsidRPr="00F603DF">
              <w:t xml:space="preserve">le 16 juillet 1851 </w:t>
            </w:r>
          </w:p>
          <w:p w:rsidR="00380147" w:rsidRPr="006223DE" w:rsidRDefault="00380147" w:rsidP="00380147">
            <w:pPr>
              <w:spacing w:before="120" w:after="120"/>
              <w:jc w:val="both"/>
              <w:rPr>
                <w:sz w:val="24"/>
              </w:rPr>
            </w:pPr>
          </w:p>
          <w:p w:rsidR="00380147" w:rsidRPr="006223DE" w:rsidRDefault="00380147" w:rsidP="00380147">
            <w:pPr>
              <w:ind w:right="90" w:firstLine="0"/>
              <w:jc w:val="both"/>
              <w:rPr>
                <w:sz w:val="20"/>
              </w:rPr>
            </w:pPr>
            <w:hyperlink w:anchor="tdm" w:history="1">
              <w:r w:rsidRPr="006223DE">
                <w:rPr>
                  <w:rStyle w:val="Lienhypertexte"/>
                  <w:sz w:val="20"/>
                </w:rPr>
                <w:t>Retour à la table des matières</w:t>
              </w:r>
            </w:hyperlink>
          </w:p>
          <w:p w:rsidR="00380147" w:rsidRPr="006223DE" w:rsidRDefault="00380147" w:rsidP="00380147">
            <w:pPr>
              <w:spacing w:before="120" w:after="120"/>
              <w:ind w:left="90" w:right="104"/>
              <w:jc w:val="both"/>
              <w:rPr>
                <w:sz w:val="24"/>
              </w:rPr>
            </w:pPr>
            <w:r w:rsidRPr="006223DE">
              <w:rPr>
                <w:sz w:val="24"/>
              </w:rPr>
              <w:t xml:space="preserve">(Transcription intégrale du manuscrit : Archives nationales du Québec à Québec. Greffe de Louis-Zéphirin Rousseau (cote CN301, S247). </w:t>
            </w:r>
          </w:p>
          <w:p w:rsidR="00380147" w:rsidRPr="006223DE" w:rsidRDefault="00380147" w:rsidP="00380147">
            <w:pPr>
              <w:spacing w:before="120" w:after="120"/>
              <w:jc w:val="both"/>
              <w:rPr>
                <w:sz w:val="24"/>
              </w:rPr>
            </w:pPr>
            <w:r w:rsidRPr="006223DE">
              <w:rPr>
                <w:sz w:val="24"/>
              </w:rPr>
              <w:t>No 112</w:t>
            </w:r>
          </w:p>
          <w:p w:rsidR="00380147" w:rsidRPr="006223DE" w:rsidRDefault="00380147" w:rsidP="00380147">
            <w:pPr>
              <w:spacing w:before="120" w:after="120"/>
              <w:ind w:left="90" w:right="104"/>
              <w:jc w:val="both"/>
              <w:rPr>
                <w:sz w:val="24"/>
              </w:rPr>
            </w:pPr>
            <w:r w:rsidRPr="006223DE">
              <w:rPr>
                <w:sz w:val="24"/>
              </w:rPr>
              <w:t>Protêt par Peter McLeod Junior, John Lesueur &amp; Frederick Braün Ecuïers, esqualité Contre</w:t>
            </w:r>
          </w:p>
          <w:p w:rsidR="00380147" w:rsidRPr="006223DE" w:rsidRDefault="00380147" w:rsidP="00380147">
            <w:pPr>
              <w:spacing w:before="120" w:after="120"/>
              <w:jc w:val="both"/>
              <w:rPr>
                <w:sz w:val="24"/>
              </w:rPr>
            </w:pPr>
            <w:r w:rsidRPr="006223DE">
              <w:rPr>
                <w:sz w:val="24"/>
              </w:rPr>
              <w:t xml:space="preserve">John Kane Ecuier Esqualité </w:t>
            </w:r>
            <w:r w:rsidRPr="006223DE">
              <w:rPr>
                <w:b/>
                <w:sz w:val="24"/>
                <w:szCs w:val="32"/>
              </w:rPr>
              <w:t>16 Juillet 1851</w:t>
            </w:r>
          </w:p>
          <w:p w:rsidR="00380147" w:rsidRPr="006223DE" w:rsidRDefault="00380147" w:rsidP="00380147">
            <w:pPr>
              <w:spacing w:before="120" w:after="120"/>
              <w:jc w:val="both"/>
              <w:rPr>
                <w:sz w:val="24"/>
              </w:rPr>
            </w:pPr>
          </w:p>
          <w:p w:rsidR="00380147" w:rsidRPr="006223DE" w:rsidRDefault="00380147" w:rsidP="00380147">
            <w:pPr>
              <w:spacing w:before="120" w:after="120"/>
              <w:ind w:left="90" w:right="104"/>
              <w:jc w:val="both"/>
              <w:rPr>
                <w:b/>
                <w:sz w:val="24"/>
                <w:szCs w:val="28"/>
              </w:rPr>
            </w:pPr>
            <w:r w:rsidRPr="006223DE">
              <w:rPr>
                <w:sz w:val="24"/>
              </w:rPr>
              <w:t>Aujourd'hui, le Seizième jour du Mois de Juillet de l'année mil huit cent cinquante et un, à cinq heures et demi de l'après midi du dit jour, Nous, Nota</w:t>
            </w:r>
            <w:r w:rsidRPr="006223DE">
              <w:rPr>
                <w:sz w:val="24"/>
              </w:rPr>
              <w:t>i</w:t>
            </w:r>
            <w:r w:rsidRPr="006223DE">
              <w:rPr>
                <w:sz w:val="24"/>
              </w:rPr>
              <w:t>res Publics dans et pour le Bas-Canada, résidant en le te</w:t>
            </w:r>
            <w:r w:rsidRPr="006223DE">
              <w:rPr>
                <w:sz w:val="24"/>
              </w:rPr>
              <w:t>r</w:t>
            </w:r>
            <w:r w:rsidRPr="006223DE">
              <w:rPr>
                <w:sz w:val="24"/>
              </w:rPr>
              <w:t>ritoire de Saguenay en le comté du même nom soussignés, A la réquisition de Peter McLeod J</w:t>
            </w:r>
            <w:r w:rsidRPr="006223DE">
              <w:rPr>
                <w:sz w:val="24"/>
              </w:rPr>
              <w:t>u</w:t>
            </w:r>
            <w:r w:rsidRPr="006223DE">
              <w:rPr>
                <w:sz w:val="24"/>
              </w:rPr>
              <w:t>nior, John Lesueur &amp; Frederick Braün Ecuïers, résidant en le Township de Chico</w:t>
            </w:r>
            <w:r w:rsidRPr="006223DE">
              <w:rPr>
                <w:sz w:val="24"/>
              </w:rPr>
              <w:t>u</w:t>
            </w:r>
            <w:r w:rsidRPr="006223DE">
              <w:rPr>
                <w:sz w:val="24"/>
              </w:rPr>
              <w:t>timi en le dit comté de Saguenay (Ces derniers agissent comme Procureurs pour &amp; au nom des Sauvages de la tribus des Montagnais habitant les Tow</w:t>
            </w:r>
            <w:r w:rsidRPr="006223DE">
              <w:rPr>
                <w:sz w:val="24"/>
              </w:rPr>
              <w:t>n</w:t>
            </w:r>
            <w:r w:rsidRPr="006223DE">
              <w:rPr>
                <w:sz w:val="24"/>
              </w:rPr>
              <w:t>ships Jonquière, Kinogami, Caron, Signai, Labarre, Mesy, Métabe</w:t>
            </w:r>
            <w:r w:rsidRPr="006223DE">
              <w:rPr>
                <w:sz w:val="24"/>
              </w:rPr>
              <w:t>t</w:t>
            </w:r>
            <w:r w:rsidRPr="006223DE">
              <w:rPr>
                <w:sz w:val="24"/>
              </w:rPr>
              <w:t>chouan sur le territoire du dit suivant acte de Procuration sous seing Privé fait &amp; signé des dits Sauvages en date a Chicoutimi du douzième jour de Juillet de la dite année mil huit cent ci</w:t>
            </w:r>
            <w:r w:rsidRPr="006223DE">
              <w:rPr>
                <w:sz w:val="24"/>
              </w:rPr>
              <w:t>n</w:t>
            </w:r>
            <w:r w:rsidRPr="006223DE">
              <w:rPr>
                <w:sz w:val="24"/>
              </w:rPr>
              <w:t xml:space="preserve">quante &amp; un, lequel acte sous seing privé est demeuré annexé à ces présentes pour y avoir recours en cas de besoin.) </w:t>
            </w:r>
            <w:r w:rsidRPr="006223DE">
              <w:rPr>
                <w:b/>
                <w:sz w:val="24"/>
                <w:szCs w:val="28"/>
              </w:rPr>
              <w:t>Nous sommes exprès transportés en la Grande Baie dans le Township de Bagot &amp; là en la ma</w:t>
            </w:r>
            <w:r w:rsidRPr="006223DE">
              <w:rPr>
                <w:b/>
                <w:sz w:val="24"/>
                <w:szCs w:val="28"/>
              </w:rPr>
              <w:t>i</w:t>
            </w:r>
            <w:r w:rsidRPr="006223DE">
              <w:rPr>
                <w:b/>
                <w:sz w:val="24"/>
                <w:szCs w:val="28"/>
              </w:rPr>
              <w:t>son et demeure de John Kane, Ecuïer, agent des terres de la Couronne sur le dit territoire où étant nous avons dit déclaré &amp; notifié au dit John Kane, écuïer en sa dite qualité, parlant à lui-même qu'il ait a ne pas effectuer a</w:t>
            </w:r>
            <w:r w:rsidRPr="006223DE">
              <w:rPr>
                <w:b/>
                <w:sz w:val="24"/>
                <w:szCs w:val="28"/>
              </w:rPr>
              <w:t>u</w:t>
            </w:r>
            <w:r w:rsidRPr="006223DE">
              <w:rPr>
                <w:b/>
                <w:sz w:val="24"/>
                <w:szCs w:val="28"/>
              </w:rPr>
              <w:t>cune vente des lots de terres annoncés en vente dans les dits Township Jonquière, Kinogami, Caron, Signai, Labarre, Mesy &amp; Métabetchouan, quoique requis de le faire par le Bureau des te</w:t>
            </w:r>
            <w:r w:rsidRPr="006223DE">
              <w:rPr>
                <w:b/>
                <w:sz w:val="24"/>
                <w:szCs w:val="28"/>
              </w:rPr>
              <w:t>r</w:t>
            </w:r>
            <w:r w:rsidRPr="006223DE">
              <w:rPr>
                <w:b/>
                <w:sz w:val="24"/>
                <w:szCs w:val="28"/>
              </w:rPr>
              <w:t>res de la Couronne de cette Province &amp; que les dites terres sont la propriété des dits Sauvages Mont</w:t>
            </w:r>
            <w:r w:rsidRPr="006223DE">
              <w:rPr>
                <w:b/>
                <w:sz w:val="24"/>
                <w:szCs w:val="28"/>
              </w:rPr>
              <w:t>a</w:t>
            </w:r>
            <w:r w:rsidRPr="006223DE">
              <w:rPr>
                <w:b/>
                <w:sz w:val="24"/>
                <w:szCs w:val="28"/>
              </w:rPr>
              <w:t>gnais depuis un temps immémorial que de tous temps le territoire sur l</w:t>
            </w:r>
            <w:r w:rsidRPr="006223DE">
              <w:rPr>
                <w:b/>
                <w:sz w:val="24"/>
                <w:szCs w:val="28"/>
              </w:rPr>
              <w:t>e</w:t>
            </w:r>
            <w:r w:rsidRPr="006223DE">
              <w:rPr>
                <w:b/>
                <w:sz w:val="24"/>
                <w:szCs w:val="28"/>
              </w:rPr>
              <w:t>quel se trouvent s</w:t>
            </w:r>
            <w:r w:rsidRPr="006223DE">
              <w:rPr>
                <w:b/>
                <w:sz w:val="24"/>
                <w:szCs w:val="28"/>
              </w:rPr>
              <w:t>i</w:t>
            </w:r>
            <w:r w:rsidRPr="006223DE">
              <w:rPr>
                <w:b/>
                <w:sz w:val="24"/>
                <w:szCs w:val="28"/>
              </w:rPr>
              <w:t>tuées ces terres a été leur propriété &amp; en leur possession, leur servant de résidence &amp; comme terrains de chasse seul moyen d'exi</w:t>
            </w:r>
            <w:r w:rsidRPr="006223DE">
              <w:rPr>
                <w:b/>
                <w:sz w:val="24"/>
                <w:szCs w:val="28"/>
              </w:rPr>
              <w:t>s</w:t>
            </w:r>
            <w:r w:rsidRPr="006223DE">
              <w:rPr>
                <w:b/>
                <w:sz w:val="24"/>
                <w:szCs w:val="28"/>
              </w:rPr>
              <w:t>tence pour eux &amp; leurs familles; que le gouvernement ne peut sans être en contravention à toutes lois existantes, vendre leurs terres sans avoir tra</w:t>
            </w:r>
            <w:r w:rsidRPr="006223DE">
              <w:rPr>
                <w:b/>
                <w:sz w:val="24"/>
                <w:szCs w:val="28"/>
              </w:rPr>
              <w:t>n</w:t>
            </w:r>
            <w:r w:rsidRPr="006223DE">
              <w:rPr>
                <w:b/>
                <w:sz w:val="24"/>
                <w:szCs w:val="28"/>
              </w:rPr>
              <w:t>sigé préalablement avec eux pour leurs droits de possession &amp; de propri</w:t>
            </w:r>
            <w:r w:rsidRPr="006223DE">
              <w:rPr>
                <w:b/>
                <w:sz w:val="24"/>
                <w:szCs w:val="28"/>
              </w:rPr>
              <w:t>é</w:t>
            </w:r>
            <w:r w:rsidRPr="006223DE">
              <w:rPr>
                <w:b/>
                <w:sz w:val="24"/>
                <w:szCs w:val="28"/>
              </w:rPr>
              <w:t>té. (nous soulignons)</w:t>
            </w:r>
          </w:p>
          <w:p w:rsidR="00380147" w:rsidRPr="006223DE" w:rsidRDefault="00380147" w:rsidP="00380147">
            <w:pPr>
              <w:spacing w:before="120" w:after="120"/>
              <w:jc w:val="both"/>
              <w:rPr>
                <w:i/>
                <w:sz w:val="24"/>
                <w:szCs w:val="28"/>
              </w:rPr>
            </w:pPr>
          </w:p>
          <w:p w:rsidR="00380147" w:rsidRPr="006223DE" w:rsidRDefault="00380147" w:rsidP="00380147">
            <w:pPr>
              <w:spacing w:before="120" w:after="120"/>
              <w:ind w:left="90" w:right="104"/>
              <w:jc w:val="both"/>
              <w:rPr>
                <w:sz w:val="24"/>
              </w:rPr>
            </w:pPr>
            <w:r w:rsidRPr="006223DE">
              <w:rPr>
                <w:b/>
                <w:sz w:val="24"/>
                <w:szCs w:val="28"/>
              </w:rPr>
              <w:t>Que la Couronne d'Angleterre en conquérant le pays n'a pas conquis leur droit de propriété &amp; de possession sur des terres que le premier Sa</w:t>
            </w:r>
            <w:r w:rsidRPr="006223DE">
              <w:rPr>
                <w:b/>
                <w:sz w:val="24"/>
                <w:szCs w:val="28"/>
              </w:rPr>
              <w:t>u</w:t>
            </w:r>
            <w:r w:rsidRPr="006223DE">
              <w:rPr>
                <w:b/>
                <w:sz w:val="24"/>
                <w:szCs w:val="28"/>
              </w:rPr>
              <w:t>vage Montagnais, premier père d'iceux a eu pour partage de la divine pr</w:t>
            </w:r>
            <w:r w:rsidRPr="006223DE">
              <w:rPr>
                <w:b/>
                <w:sz w:val="24"/>
                <w:szCs w:val="28"/>
              </w:rPr>
              <w:t>o</w:t>
            </w:r>
            <w:r w:rsidRPr="006223DE">
              <w:rPr>
                <w:b/>
                <w:sz w:val="24"/>
                <w:szCs w:val="28"/>
              </w:rPr>
              <w:t>vidence pour nourrir &amp; soutenir les descendants de sa tribut.</w:t>
            </w:r>
            <w:r w:rsidRPr="006223DE">
              <w:rPr>
                <w:sz w:val="24"/>
              </w:rPr>
              <w:t xml:space="preserve"> En cons</w:t>
            </w:r>
            <w:r w:rsidRPr="006223DE">
              <w:rPr>
                <w:sz w:val="24"/>
              </w:rPr>
              <w:t>é</w:t>
            </w:r>
            <w:r w:rsidRPr="006223DE">
              <w:rPr>
                <w:sz w:val="24"/>
              </w:rPr>
              <w:t>quence, nous dits notaires ___ noms avons sommé, requis &amp; interpellé le dit John Kane Ecuyer esqualité de ne faire aucune vente, cession ou dons des sus dites terres à qui que ce soit à moins qu'il arrive à sa connaissance par des d</w:t>
            </w:r>
            <w:r w:rsidRPr="006223DE">
              <w:rPr>
                <w:sz w:val="24"/>
              </w:rPr>
              <w:t>o</w:t>
            </w:r>
            <w:r w:rsidRPr="006223DE">
              <w:rPr>
                <w:sz w:val="24"/>
              </w:rPr>
              <w:t>cuments authe</w:t>
            </w:r>
            <w:r w:rsidRPr="006223DE">
              <w:rPr>
                <w:sz w:val="24"/>
              </w:rPr>
              <w:t>n</w:t>
            </w:r>
            <w:r w:rsidRPr="006223DE">
              <w:rPr>
                <w:sz w:val="24"/>
              </w:rPr>
              <w:t>tique que le gouvernement de cette Province aurait transigé avec les dits Sauv</w:t>
            </w:r>
            <w:r w:rsidRPr="006223DE">
              <w:rPr>
                <w:sz w:val="24"/>
              </w:rPr>
              <w:t>a</w:t>
            </w:r>
            <w:r w:rsidRPr="006223DE">
              <w:rPr>
                <w:sz w:val="24"/>
              </w:rPr>
              <w:t>ges quant à leurs droits de propriété &amp; de possession sus mentionnés et qu'en par___ le dit John Kane, Ecuyer, esqualité ou a</w:t>
            </w:r>
            <w:r w:rsidRPr="006223DE">
              <w:rPr>
                <w:sz w:val="24"/>
              </w:rPr>
              <w:t>u</w:t>
            </w:r>
            <w:r w:rsidRPr="006223DE">
              <w:rPr>
                <w:sz w:val="24"/>
              </w:rPr>
              <w:t>tres agent de la Couronne pour cet effet agissant contrairement aux interpellations so</w:t>
            </w:r>
            <w:r w:rsidRPr="006223DE">
              <w:rPr>
                <w:sz w:val="24"/>
              </w:rPr>
              <w:t>m</w:t>
            </w:r>
            <w:r w:rsidRPr="006223DE">
              <w:rPr>
                <w:sz w:val="24"/>
              </w:rPr>
              <w:t>mation &amp; défense des dites ils, les dits Peter McLeod Junior, John Lesueur et Frederick Braün Ecuïers en dite qu</w:t>
            </w:r>
            <w:r w:rsidRPr="006223DE">
              <w:rPr>
                <w:sz w:val="24"/>
              </w:rPr>
              <w:t>a</w:t>
            </w:r>
            <w:r w:rsidRPr="006223DE">
              <w:rPr>
                <w:sz w:val="24"/>
              </w:rPr>
              <w:t>lité se pourvoiront en toute cour de justice pour faire déclarer nuls tous reçus ou patentes ou autres titres qui pourraient être accordés &amp; pour tous dépens, dommages &amp; intérêts, soufferts &amp; a souffrir par eux les sus dits Sauvages &amp; avons à la réquis</w:t>
            </w:r>
            <w:r w:rsidRPr="006223DE">
              <w:rPr>
                <w:sz w:val="24"/>
              </w:rPr>
              <w:t>i</w:t>
            </w:r>
            <w:r w:rsidRPr="006223DE">
              <w:rPr>
                <w:sz w:val="24"/>
              </w:rPr>
              <w:t>tion que dit est protesté &amp; protestons formell</w:t>
            </w:r>
            <w:r w:rsidRPr="006223DE">
              <w:rPr>
                <w:sz w:val="24"/>
              </w:rPr>
              <w:t>e</w:t>
            </w:r>
            <w:r w:rsidRPr="006223DE">
              <w:rPr>
                <w:sz w:val="24"/>
              </w:rPr>
              <w:t>ment contre le dit John Kane Ecuïer en dite qualité pour tous frais, dépens, dommages &amp; intérêt, soufferts et à souffrir &amp; pour tout ce qu'on peut et doit pr</w:t>
            </w:r>
            <w:r w:rsidRPr="006223DE">
              <w:rPr>
                <w:sz w:val="24"/>
              </w:rPr>
              <w:t>o</w:t>
            </w:r>
            <w:r w:rsidRPr="006223DE">
              <w:rPr>
                <w:sz w:val="24"/>
              </w:rPr>
              <w:t>tester en pareil cas.</w:t>
            </w:r>
          </w:p>
          <w:p w:rsidR="00380147" w:rsidRPr="006223DE" w:rsidRDefault="00380147" w:rsidP="00380147">
            <w:pPr>
              <w:spacing w:before="120" w:after="120"/>
              <w:jc w:val="both"/>
              <w:rPr>
                <w:sz w:val="24"/>
              </w:rPr>
            </w:pPr>
          </w:p>
          <w:p w:rsidR="00380147" w:rsidRPr="006223DE" w:rsidRDefault="00380147" w:rsidP="00380147">
            <w:pPr>
              <w:spacing w:before="120" w:after="120"/>
              <w:ind w:left="90" w:right="104"/>
              <w:jc w:val="both"/>
              <w:rPr>
                <w:sz w:val="24"/>
              </w:rPr>
            </w:pPr>
            <w:r w:rsidRPr="006223DE">
              <w:rPr>
                <w:sz w:val="24"/>
              </w:rPr>
              <w:t>Fait et signifié au dit lieu de la Grande Baie sous le numéro cent douze, &amp; afin que le dit John Kane Ecuïer esqualité n'en prétende ca</w:t>
            </w:r>
            <w:r w:rsidRPr="006223DE">
              <w:rPr>
                <w:sz w:val="24"/>
              </w:rPr>
              <w:t>u</w:t>
            </w:r>
            <w:r w:rsidRPr="006223DE">
              <w:rPr>
                <w:sz w:val="24"/>
              </w:rPr>
              <w:t>se d'ignorance nous lui avons laissé copie des présentes parlant co</w:t>
            </w:r>
            <w:r w:rsidRPr="006223DE">
              <w:rPr>
                <w:sz w:val="24"/>
              </w:rPr>
              <w:t>m</w:t>
            </w:r>
            <w:r w:rsidRPr="006223DE">
              <w:rPr>
                <w:sz w:val="24"/>
              </w:rPr>
              <w:t xml:space="preserve">me dit est les jour &amp; lieu sus dits après lecture faite. huit mots rayés sont nuls </w:t>
            </w:r>
          </w:p>
          <w:p w:rsidR="00380147" w:rsidRPr="006223DE" w:rsidRDefault="00380147" w:rsidP="00380147">
            <w:pPr>
              <w:spacing w:before="120" w:after="120"/>
              <w:jc w:val="both"/>
              <w:rPr>
                <w:i/>
                <w:sz w:val="24"/>
              </w:rPr>
            </w:pPr>
          </w:p>
          <w:p w:rsidR="00380147" w:rsidRDefault="00380147" w:rsidP="00380147">
            <w:pPr>
              <w:tabs>
                <w:tab w:val="left" w:pos="2070"/>
              </w:tabs>
              <w:spacing w:before="120" w:after="120"/>
              <w:ind w:left="90" w:right="104" w:firstLine="0"/>
              <w:jc w:val="both"/>
            </w:pPr>
            <w:r w:rsidRPr="006223DE">
              <w:rPr>
                <w:sz w:val="24"/>
              </w:rPr>
              <w:t>O. Bossé n.p.</w:t>
            </w:r>
            <w:r w:rsidRPr="006223DE">
              <w:rPr>
                <w:sz w:val="24"/>
              </w:rPr>
              <w:tab/>
              <w:t>L. Z. Rousseau n.p.</w:t>
            </w:r>
            <w:r>
              <w:t> </w:t>
            </w:r>
            <w:r>
              <w:rPr>
                <w:rStyle w:val="Appelnotedebasdep"/>
              </w:rPr>
              <w:footnoteReference w:id="2"/>
            </w:r>
          </w:p>
          <w:p w:rsidR="00380147" w:rsidRDefault="00380147" w:rsidP="00380147">
            <w:pPr>
              <w:spacing w:before="120" w:after="120"/>
              <w:ind w:firstLine="0"/>
              <w:jc w:val="both"/>
            </w:pPr>
          </w:p>
        </w:tc>
      </w:tr>
    </w:tbl>
    <w:p w:rsidR="00380147" w:rsidRPr="00F603DF" w:rsidRDefault="00380147" w:rsidP="00380147">
      <w:pPr>
        <w:spacing w:before="120" w:after="120"/>
        <w:jc w:val="both"/>
      </w:pPr>
    </w:p>
    <w:p w:rsidR="00380147" w:rsidRDefault="00380147" w:rsidP="00380147">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380147">
        <w:tc>
          <w:tcPr>
            <w:tcW w:w="8060" w:type="dxa"/>
            <w:shd w:val="clear" w:color="auto" w:fill="EAF1DD"/>
          </w:tcPr>
          <w:p w:rsidR="00380147" w:rsidRDefault="00380147" w:rsidP="00380147">
            <w:pPr>
              <w:spacing w:before="120" w:after="120"/>
              <w:ind w:left="90" w:right="104" w:firstLine="0"/>
              <w:jc w:val="both"/>
            </w:pPr>
          </w:p>
          <w:p w:rsidR="00380147" w:rsidRDefault="00380147" w:rsidP="00380147">
            <w:pPr>
              <w:pStyle w:val="Niveau12"/>
            </w:pPr>
            <w:r w:rsidRPr="00F603DF">
              <w:t>Acte de procuration</w:t>
            </w:r>
          </w:p>
          <w:p w:rsidR="00380147" w:rsidRDefault="00380147" w:rsidP="00380147">
            <w:pPr>
              <w:spacing w:before="120" w:after="120"/>
              <w:ind w:left="90" w:right="104" w:firstLine="0"/>
              <w:jc w:val="both"/>
            </w:pPr>
          </w:p>
          <w:p w:rsidR="00380147" w:rsidRPr="006223DE" w:rsidRDefault="00380147" w:rsidP="00380147">
            <w:pPr>
              <w:spacing w:before="120" w:after="120"/>
              <w:ind w:left="90" w:right="104" w:firstLine="0"/>
              <w:jc w:val="both"/>
              <w:rPr>
                <w:sz w:val="24"/>
              </w:rPr>
            </w:pPr>
            <w:r w:rsidRPr="006223DE">
              <w:rPr>
                <w:sz w:val="24"/>
              </w:rPr>
              <w:t>Chicoutimi 12 juillet 1851</w:t>
            </w:r>
          </w:p>
          <w:p w:rsidR="00380147" w:rsidRDefault="00380147" w:rsidP="00380147">
            <w:pPr>
              <w:spacing w:before="120" w:after="120"/>
              <w:ind w:left="90" w:right="104" w:firstLine="0"/>
              <w:jc w:val="both"/>
            </w:pPr>
          </w:p>
          <w:p w:rsidR="00380147" w:rsidRPr="006223DE" w:rsidRDefault="00380147" w:rsidP="00380147">
            <w:pPr>
              <w:ind w:left="90" w:right="90" w:firstLine="0"/>
              <w:jc w:val="both"/>
              <w:rPr>
                <w:sz w:val="20"/>
              </w:rPr>
            </w:pPr>
            <w:hyperlink w:anchor="tdm" w:history="1">
              <w:r w:rsidRPr="006223DE">
                <w:rPr>
                  <w:rStyle w:val="Lienhypertexte"/>
                  <w:sz w:val="20"/>
                </w:rPr>
                <w:t>Retour à la table des matières</w:t>
              </w:r>
            </w:hyperlink>
          </w:p>
          <w:p w:rsidR="00380147" w:rsidRDefault="00380147" w:rsidP="00380147">
            <w:pPr>
              <w:spacing w:before="120" w:after="120"/>
              <w:ind w:left="90" w:right="104" w:firstLine="0"/>
              <w:jc w:val="both"/>
            </w:pPr>
            <w:r w:rsidRPr="006223DE">
              <w:rPr>
                <w:sz w:val="24"/>
              </w:rPr>
              <w:t>Nous les soussignés sauvages de la Tribu des Montagnais résidents sur le Township [ou Territoire] de Saguenay conduisons[?] par le pr</w:t>
            </w:r>
            <w:r w:rsidRPr="006223DE">
              <w:rPr>
                <w:sz w:val="24"/>
              </w:rPr>
              <w:t>é</w:t>
            </w:r>
            <w:r w:rsidRPr="006223DE">
              <w:rPr>
                <w:sz w:val="24"/>
              </w:rPr>
              <w:t>sent Peter McLeod, Jr, John Le Sueur et Frederic Braün Ecuiers nos Procureurs et repr</w:t>
            </w:r>
            <w:r w:rsidRPr="006223DE">
              <w:rPr>
                <w:sz w:val="24"/>
              </w:rPr>
              <w:t>é</w:t>
            </w:r>
            <w:r w:rsidRPr="006223DE">
              <w:rPr>
                <w:sz w:val="24"/>
              </w:rPr>
              <w:t>sentants auprès du Gouvernement où[sic] de ses agents, dans toutes les affa</w:t>
            </w:r>
            <w:r w:rsidRPr="006223DE">
              <w:rPr>
                <w:sz w:val="24"/>
              </w:rPr>
              <w:t>i</w:t>
            </w:r>
            <w:r w:rsidRPr="006223DE">
              <w:rPr>
                <w:sz w:val="24"/>
              </w:rPr>
              <w:t>res qui concernent où[sic] concerneront nos intérets à l’avenir, et les autor</w:t>
            </w:r>
            <w:r w:rsidRPr="006223DE">
              <w:rPr>
                <w:sz w:val="24"/>
              </w:rPr>
              <w:t>i</w:t>
            </w:r>
            <w:r w:rsidRPr="006223DE">
              <w:rPr>
                <w:sz w:val="24"/>
              </w:rPr>
              <w:t>sons à faire en[?] notre[?] nom[?] chose[?] qu’ils jugent [ou jugeront] néce</w:t>
            </w:r>
            <w:r w:rsidRPr="006223DE">
              <w:rPr>
                <w:sz w:val="24"/>
              </w:rPr>
              <w:t>s</w:t>
            </w:r>
            <w:r w:rsidRPr="006223DE">
              <w:rPr>
                <w:sz w:val="24"/>
              </w:rPr>
              <w:t>saire</w:t>
            </w:r>
          </w:p>
          <w:p w:rsidR="00380147" w:rsidRDefault="00380147" w:rsidP="00380147">
            <w:pPr>
              <w:spacing w:before="120" w:after="120"/>
              <w:ind w:left="90" w:right="104" w:firstLine="0"/>
              <w:jc w:val="both"/>
            </w:pPr>
            <w:r w:rsidRPr="006223DE">
              <w:rPr>
                <w:sz w:val="24"/>
              </w:rPr>
              <w:t>[Acte auquel s'ajoutent trente-huit noms]</w:t>
            </w:r>
          </w:p>
          <w:p w:rsidR="00380147" w:rsidRPr="006223DE" w:rsidRDefault="00380147" w:rsidP="00380147">
            <w:pPr>
              <w:spacing w:before="120" w:after="120"/>
              <w:jc w:val="both"/>
              <w:rPr>
                <w:sz w:val="24"/>
              </w:rPr>
            </w:pPr>
          </w:p>
          <w:tbl>
            <w:tblPr>
              <w:tblW w:w="0" w:type="auto"/>
              <w:tblInd w:w="90" w:type="dxa"/>
              <w:tblLook w:val="00BF" w:firstRow="1" w:lastRow="0" w:firstColumn="1" w:lastColumn="0" w:noHBand="0" w:noVBand="0"/>
            </w:tblPr>
            <w:tblGrid>
              <w:gridCol w:w="3330"/>
              <w:gridCol w:w="2700"/>
              <w:gridCol w:w="1548"/>
            </w:tblGrid>
            <w:tr w:rsidR="00380147" w:rsidRPr="00C5466B">
              <w:tc>
                <w:tcPr>
                  <w:tcW w:w="3330" w:type="dxa"/>
                </w:tcPr>
                <w:p w:rsidR="00380147" w:rsidRPr="00C5466B" w:rsidRDefault="00380147" w:rsidP="00380147">
                  <w:pPr>
                    <w:ind w:firstLine="0"/>
                    <w:rPr>
                      <w:sz w:val="24"/>
                    </w:rPr>
                  </w:pPr>
                  <w:r w:rsidRPr="00C5466B">
                    <w:rPr>
                      <w:sz w:val="24"/>
                    </w:rPr>
                    <w:t>Pallir</w:t>
                  </w:r>
                </w:p>
              </w:tc>
              <w:tc>
                <w:tcPr>
                  <w:tcW w:w="2700" w:type="dxa"/>
                </w:tcPr>
                <w:p w:rsidR="00380147" w:rsidRPr="00C5466B" w:rsidRDefault="00380147" w:rsidP="00380147">
                  <w:pPr>
                    <w:ind w:firstLine="0"/>
                    <w:rPr>
                      <w:sz w:val="24"/>
                    </w:rPr>
                  </w:pPr>
                  <w:r w:rsidRPr="00C5466B">
                    <w:rPr>
                      <w:sz w:val="24"/>
                    </w:rPr>
                    <w:t>Etier</w:t>
                  </w:r>
                </w:p>
              </w:tc>
              <w:tc>
                <w:tcPr>
                  <w:tcW w:w="1548" w:type="dxa"/>
                </w:tcPr>
                <w:p w:rsidR="00380147" w:rsidRPr="00C5466B" w:rsidRDefault="00380147" w:rsidP="00380147">
                  <w:pPr>
                    <w:ind w:firstLine="0"/>
                    <w:rPr>
                      <w:sz w:val="24"/>
                    </w:rPr>
                  </w:pPr>
                  <w:r w:rsidRPr="00C5466B">
                    <w:rPr>
                      <w:sz w:val="24"/>
                    </w:rPr>
                    <w:t>iu ma this</w:t>
                  </w:r>
                </w:p>
              </w:tc>
            </w:tr>
            <w:tr w:rsidR="00380147" w:rsidRPr="00C5466B">
              <w:tc>
                <w:tcPr>
                  <w:tcW w:w="3330" w:type="dxa"/>
                </w:tcPr>
                <w:p w:rsidR="00380147" w:rsidRPr="00C5466B" w:rsidRDefault="00380147" w:rsidP="00380147">
                  <w:pPr>
                    <w:ind w:firstLine="0"/>
                    <w:rPr>
                      <w:sz w:val="24"/>
                    </w:rPr>
                  </w:pPr>
                  <w:r w:rsidRPr="00C5466B">
                    <w:rPr>
                      <w:sz w:val="24"/>
                    </w:rPr>
                    <w:t>Ppthac jete</w:t>
                  </w:r>
                </w:p>
              </w:tc>
              <w:tc>
                <w:tcPr>
                  <w:tcW w:w="2700" w:type="dxa"/>
                </w:tcPr>
                <w:p w:rsidR="00380147" w:rsidRPr="00C5466B" w:rsidRDefault="00380147" w:rsidP="00380147">
                  <w:pPr>
                    <w:ind w:firstLine="0"/>
                    <w:rPr>
                      <w:sz w:val="24"/>
                    </w:rPr>
                  </w:pPr>
                  <w:r w:rsidRPr="00C5466B">
                    <w:rPr>
                      <w:sz w:val="24"/>
                    </w:rPr>
                    <w:t>Japa 8is</w:t>
                  </w:r>
                </w:p>
              </w:tc>
              <w:tc>
                <w:tcPr>
                  <w:tcW w:w="1548" w:type="dxa"/>
                </w:tcPr>
                <w:p w:rsidR="00380147" w:rsidRPr="00C5466B" w:rsidRDefault="00380147" w:rsidP="00380147">
                  <w:pPr>
                    <w:ind w:firstLine="0"/>
                    <w:rPr>
                      <w:sz w:val="24"/>
                    </w:rPr>
                  </w:pPr>
                  <w:r w:rsidRPr="00C5466B">
                    <w:rPr>
                      <w:sz w:val="24"/>
                    </w:rPr>
                    <w:t>JulaP</w:t>
                  </w:r>
                </w:p>
              </w:tc>
            </w:tr>
            <w:tr w:rsidR="00380147" w:rsidRPr="00C5466B">
              <w:tc>
                <w:tcPr>
                  <w:tcW w:w="3330" w:type="dxa"/>
                </w:tcPr>
                <w:p w:rsidR="00380147" w:rsidRPr="00C5466B" w:rsidRDefault="00380147" w:rsidP="00380147">
                  <w:pPr>
                    <w:ind w:firstLine="0"/>
                    <w:rPr>
                      <w:sz w:val="24"/>
                    </w:rPr>
                  </w:pPr>
                  <w:r w:rsidRPr="00C5466B">
                    <w:rPr>
                      <w:sz w:val="24"/>
                    </w:rPr>
                    <w:t>etien [ou etier] ne thi ri pe</w:t>
                  </w:r>
                </w:p>
              </w:tc>
              <w:tc>
                <w:tcPr>
                  <w:tcW w:w="2700" w:type="dxa"/>
                </w:tcPr>
                <w:p w:rsidR="00380147" w:rsidRPr="00C5466B" w:rsidRDefault="00380147" w:rsidP="00380147">
                  <w:pPr>
                    <w:ind w:firstLine="0"/>
                    <w:rPr>
                      <w:sz w:val="24"/>
                    </w:rPr>
                  </w:pPr>
                  <w:r w:rsidRPr="00C5466B">
                    <w:rPr>
                      <w:sz w:val="24"/>
                    </w:rPr>
                    <w:t>nur ethi naktki ru</w:t>
                  </w:r>
                </w:p>
              </w:tc>
              <w:tc>
                <w:tcPr>
                  <w:tcW w:w="1548" w:type="dxa"/>
                </w:tcPr>
                <w:p w:rsidR="00380147" w:rsidRPr="00C5466B" w:rsidRDefault="00380147" w:rsidP="00380147">
                  <w:pPr>
                    <w:ind w:firstLine="0"/>
                    <w:rPr>
                      <w:sz w:val="24"/>
                    </w:rPr>
                  </w:pPr>
                  <w:r w:rsidRPr="00C5466B">
                    <w:rPr>
                      <w:sz w:val="24"/>
                    </w:rPr>
                    <w:t>Pier Per</w:t>
                  </w:r>
                </w:p>
              </w:tc>
            </w:tr>
            <w:tr w:rsidR="00380147" w:rsidRPr="00C5466B">
              <w:tc>
                <w:tcPr>
                  <w:tcW w:w="3330" w:type="dxa"/>
                </w:tcPr>
                <w:p w:rsidR="00380147" w:rsidRPr="00C5466B" w:rsidRDefault="00380147" w:rsidP="00380147">
                  <w:pPr>
                    <w:ind w:firstLine="0"/>
                    <w:rPr>
                      <w:sz w:val="24"/>
                    </w:rPr>
                  </w:pPr>
                  <w:r w:rsidRPr="00C5466B">
                    <w:rPr>
                      <w:sz w:val="24"/>
                    </w:rPr>
                    <w:t>thuthu P</w:t>
                  </w:r>
                </w:p>
              </w:tc>
              <w:tc>
                <w:tcPr>
                  <w:tcW w:w="2700" w:type="dxa"/>
                </w:tcPr>
                <w:p w:rsidR="00380147" w:rsidRPr="00C5466B" w:rsidRDefault="00380147" w:rsidP="00380147">
                  <w:pPr>
                    <w:ind w:firstLine="0"/>
                    <w:rPr>
                      <w:sz w:val="24"/>
                    </w:rPr>
                  </w:pPr>
                  <w:r w:rsidRPr="00C5466B">
                    <w:rPr>
                      <w:sz w:val="24"/>
                    </w:rPr>
                    <w:t>apupu a es na lhe eus</w:t>
                  </w:r>
                </w:p>
              </w:tc>
              <w:tc>
                <w:tcPr>
                  <w:tcW w:w="1548" w:type="dxa"/>
                </w:tcPr>
                <w:p w:rsidR="00380147" w:rsidRPr="00C5466B" w:rsidRDefault="00380147" w:rsidP="00380147">
                  <w:pPr>
                    <w:ind w:firstLine="0"/>
                    <w:rPr>
                      <w:sz w:val="24"/>
                    </w:rPr>
                  </w:pPr>
                  <w:r w:rsidRPr="00C5466B">
                    <w:rPr>
                      <w:sz w:val="24"/>
                    </w:rPr>
                    <w:t>Pa_ thuc</w:t>
                  </w:r>
                </w:p>
              </w:tc>
            </w:tr>
            <w:tr w:rsidR="00380147" w:rsidRPr="00C5466B">
              <w:tc>
                <w:tcPr>
                  <w:tcW w:w="3330" w:type="dxa"/>
                </w:tcPr>
                <w:p w:rsidR="00380147" w:rsidRPr="00C5466B" w:rsidRDefault="00380147" w:rsidP="00380147">
                  <w:pPr>
                    <w:ind w:firstLine="0"/>
                    <w:rPr>
                      <w:sz w:val="24"/>
                    </w:rPr>
                  </w:pPr>
                  <w:r w:rsidRPr="00C5466B">
                    <w:rPr>
                      <w:sz w:val="24"/>
                    </w:rPr>
                    <w:t>tamiu enani pu</w:t>
                  </w:r>
                </w:p>
              </w:tc>
              <w:tc>
                <w:tcPr>
                  <w:tcW w:w="2700" w:type="dxa"/>
                </w:tcPr>
                <w:p w:rsidR="00380147" w:rsidRPr="00C5466B" w:rsidRDefault="00380147" w:rsidP="00380147">
                  <w:pPr>
                    <w:ind w:firstLine="0"/>
                    <w:rPr>
                      <w:sz w:val="24"/>
                    </w:rPr>
                  </w:pPr>
                  <w:r w:rsidRPr="00C5466B">
                    <w:rPr>
                      <w:sz w:val="24"/>
                    </w:rPr>
                    <w:t>etta thapis si thi meu</w:t>
                  </w:r>
                </w:p>
              </w:tc>
              <w:tc>
                <w:tcPr>
                  <w:tcW w:w="1548" w:type="dxa"/>
                </w:tcPr>
                <w:p w:rsidR="00380147" w:rsidRPr="00C5466B" w:rsidRDefault="00380147" w:rsidP="00380147">
                  <w:pPr>
                    <w:ind w:firstLine="0"/>
                    <w:rPr>
                      <w:sz w:val="24"/>
                    </w:rPr>
                  </w:pPr>
                  <w:r w:rsidRPr="00C5466B">
                    <w:rPr>
                      <w:sz w:val="24"/>
                    </w:rPr>
                    <w:t>Prie</w:t>
                  </w:r>
                </w:p>
              </w:tc>
            </w:tr>
            <w:tr w:rsidR="00380147" w:rsidRPr="00C5466B">
              <w:tc>
                <w:tcPr>
                  <w:tcW w:w="3330" w:type="dxa"/>
                </w:tcPr>
                <w:p w:rsidR="00380147" w:rsidRPr="00C5466B" w:rsidRDefault="00380147" w:rsidP="00380147">
                  <w:pPr>
                    <w:ind w:firstLine="0"/>
                    <w:rPr>
                      <w:sz w:val="24"/>
                    </w:rPr>
                  </w:pPr>
                  <w:r w:rsidRPr="00C5466B">
                    <w:rPr>
                      <w:sz w:val="24"/>
                    </w:rPr>
                    <w:t>thapasis</w:t>
                  </w:r>
                </w:p>
              </w:tc>
              <w:tc>
                <w:tcPr>
                  <w:tcW w:w="2700" w:type="dxa"/>
                </w:tcPr>
                <w:p w:rsidR="00380147" w:rsidRPr="00C5466B" w:rsidRDefault="00380147" w:rsidP="00380147">
                  <w:pPr>
                    <w:ind w:firstLine="0"/>
                    <w:rPr>
                      <w:sz w:val="24"/>
                    </w:rPr>
                  </w:pPr>
                  <w:r w:rsidRPr="00C5466B">
                    <w:rPr>
                      <w:sz w:val="24"/>
                    </w:rPr>
                    <w:t>Jeuen</w:t>
                  </w:r>
                </w:p>
              </w:tc>
              <w:tc>
                <w:tcPr>
                  <w:tcW w:w="1548" w:type="dxa"/>
                </w:tcPr>
                <w:p w:rsidR="00380147" w:rsidRPr="00C5466B" w:rsidRDefault="00380147" w:rsidP="00380147">
                  <w:pPr>
                    <w:ind w:firstLine="0"/>
                    <w:rPr>
                      <w:sz w:val="24"/>
                    </w:rPr>
                  </w:pPr>
                  <w:r w:rsidRPr="00C5466B">
                    <w:rPr>
                      <w:sz w:val="24"/>
                    </w:rPr>
                    <w:t>Jar</w:t>
                  </w:r>
                </w:p>
              </w:tc>
            </w:tr>
            <w:tr w:rsidR="00380147" w:rsidRPr="00C5466B">
              <w:tc>
                <w:tcPr>
                  <w:tcW w:w="3330" w:type="dxa"/>
                </w:tcPr>
                <w:p w:rsidR="00380147" w:rsidRPr="00C5466B" w:rsidRDefault="00380147" w:rsidP="00380147">
                  <w:pPr>
                    <w:ind w:firstLine="0"/>
                    <w:rPr>
                      <w:sz w:val="24"/>
                    </w:rPr>
                  </w:pPr>
                  <w:r w:rsidRPr="00C5466B">
                    <w:rPr>
                      <w:sz w:val="24"/>
                    </w:rPr>
                    <w:t>Palhir etli the ri ro ro [ou ru ru]</w:t>
                  </w:r>
                </w:p>
              </w:tc>
              <w:tc>
                <w:tcPr>
                  <w:tcW w:w="2700" w:type="dxa"/>
                </w:tcPr>
                <w:p w:rsidR="00380147" w:rsidRPr="00C5466B" w:rsidRDefault="00380147" w:rsidP="00380147">
                  <w:pPr>
                    <w:ind w:firstLine="0"/>
                    <w:rPr>
                      <w:sz w:val="24"/>
                    </w:rPr>
                  </w:pPr>
                  <w:r w:rsidRPr="00C5466B">
                    <w:rPr>
                      <w:sz w:val="24"/>
                    </w:rPr>
                    <w:t>nura as nri ouiar</w:t>
                  </w:r>
                </w:p>
              </w:tc>
              <w:tc>
                <w:tcPr>
                  <w:tcW w:w="1548" w:type="dxa"/>
                </w:tcPr>
                <w:p w:rsidR="00380147" w:rsidRPr="00C5466B" w:rsidRDefault="00380147" w:rsidP="00380147">
                  <w:pPr>
                    <w:ind w:firstLine="0"/>
                    <w:rPr>
                      <w:sz w:val="24"/>
                    </w:rPr>
                  </w:pPr>
                  <w:r w:rsidRPr="00C5466B">
                    <w:rPr>
                      <w:sz w:val="24"/>
                    </w:rPr>
                    <w:t xml:space="preserve">Prathue </w:t>
                  </w:r>
                </w:p>
              </w:tc>
            </w:tr>
            <w:tr w:rsidR="00380147" w:rsidRPr="00C5466B">
              <w:tc>
                <w:tcPr>
                  <w:tcW w:w="3330" w:type="dxa"/>
                </w:tcPr>
                <w:p w:rsidR="00380147" w:rsidRPr="00C5466B" w:rsidRDefault="00380147" w:rsidP="00380147">
                  <w:pPr>
                    <w:ind w:firstLine="0"/>
                    <w:rPr>
                      <w:sz w:val="24"/>
                    </w:rPr>
                  </w:pPr>
                  <w:r w:rsidRPr="00C5466B">
                    <w:rPr>
                      <w:sz w:val="24"/>
                    </w:rPr>
                    <w:t>Lule P</w:t>
                  </w:r>
                </w:p>
              </w:tc>
              <w:tc>
                <w:tcPr>
                  <w:tcW w:w="2700" w:type="dxa"/>
                </w:tcPr>
                <w:p w:rsidR="00380147" w:rsidRPr="00C5466B" w:rsidRDefault="00380147" w:rsidP="00380147">
                  <w:pPr>
                    <w:ind w:firstLine="0"/>
                    <w:rPr>
                      <w:sz w:val="24"/>
                    </w:rPr>
                  </w:pPr>
                  <w:r w:rsidRPr="00C5466B">
                    <w:rPr>
                      <w:sz w:val="24"/>
                    </w:rPr>
                    <w:t>Prathus ka tke mi thire</w:t>
                  </w:r>
                </w:p>
              </w:tc>
              <w:tc>
                <w:tcPr>
                  <w:tcW w:w="1548" w:type="dxa"/>
                </w:tcPr>
                <w:p w:rsidR="00380147" w:rsidRPr="00C5466B" w:rsidRDefault="00380147" w:rsidP="00380147">
                  <w:pPr>
                    <w:ind w:firstLine="0"/>
                    <w:rPr>
                      <w:sz w:val="24"/>
                    </w:rPr>
                  </w:pPr>
                  <w:r w:rsidRPr="00C5466B">
                    <w:rPr>
                      <w:sz w:val="24"/>
                    </w:rPr>
                    <w:t>JePakie</w:t>
                  </w:r>
                </w:p>
              </w:tc>
            </w:tr>
            <w:tr w:rsidR="00380147" w:rsidRPr="00C5466B">
              <w:tc>
                <w:tcPr>
                  <w:tcW w:w="3330" w:type="dxa"/>
                </w:tcPr>
                <w:p w:rsidR="00380147" w:rsidRPr="00C5466B" w:rsidRDefault="00380147" w:rsidP="00380147">
                  <w:pPr>
                    <w:ind w:firstLine="0"/>
                    <w:rPr>
                      <w:sz w:val="24"/>
                    </w:rPr>
                  </w:pPr>
                  <w:r w:rsidRPr="00C5466B">
                    <w:rPr>
                      <w:sz w:val="24"/>
                    </w:rPr>
                    <w:t>Pier Pecupes</w:t>
                  </w:r>
                </w:p>
              </w:tc>
              <w:tc>
                <w:tcPr>
                  <w:tcW w:w="2700" w:type="dxa"/>
                </w:tcPr>
                <w:p w:rsidR="00380147" w:rsidRPr="00C5466B" w:rsidRDefault="00380147" w:rsidP="00380147">
                  <w:pPr>
                    <w:ind w:firstLine="0"/>
                    <w:rPr>
                      <w:sz w:val="24"/>
                    </w:rPr>
                  </w:pPr>
                  <w:r w:rsidRPr="00C5466B">
                    <w:rPr>
                      <w:sz w:val="24"/>
                    </w:rPr>
                    <w:t>_kuar nkthi oui athisis</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r w:rsidRPr="00C5466B">
                    <w:rPr>
                      <w:sz w:val="24"/>
                    </w:rPr>
                    <w:t>Prathuc kai ku Pewik</w:t>
                  </w:r>
                </w:p>
              </w:tc>
              <w:tc>
                <w:tcPr>
                  <w:tcW w:w="2700" w:type="dxa"/>
                </w:tcPr>
                <w:p w:rsidR="00380147" w:rsidRPr="00C5466B" w:rsidRDefault="00380147" w:rsidP="00380147">
                  <w:pPr>
                    <w:ind w:firstLine="0"/>
                    <w:rPr>
                      <w:sz w:val="24"/>
                    </w:rPr>
                  </w:pPr>
                  <w:r w:rsidRPr="00C5466B">
                    <w:rPr>
                      <w:sz w:val="24"/>
                    </w:rPr>
                    <w:t>Jar</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r w:rsidRPr="00C5466B">
                    <w:rPr>
                      <w:sz w:val="24"/>
                    </w:rPr>
                    <w:t>Prathac awi ni i if</w:t>
                  </w:r>
                </w:p>
              </w:tc>
              <w:tc>
                <w:tcPr>
                  <w:tcW w:w="2700" w:type="dxa"/>
                </w:tcPr>
                <w:p w:rsidR="00380147" w:rsidRPr="00C5466B" w:rsidRDefault="00380147" w:rsidP="00380147">
                  <w:pPr>
                    <w:ind w:firstLine="0"/>
                    <w:rPr>
                      <w:sz w:val="24"/>
                    </w:rPr>
                  </w:pPr>
                  <w:r w:rsidRPr="00C5466B">
                    <w:rPr>
                      <w:sz w:val="24"/>
                    </w:rPr>
                    <w:t>Prathur as niu</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r w:rsidRPr="00C5466B">
                    <w:rPr>
                      <w:sz w:val="24"/>
                    </w:rPr>
                    <w:t>Tha Pa tis</w:t>
                  </w:r>
                </w:p>
              </w:tc>
              <w:tc>
                <w:tcPr>
                  <w:tcW w:w="2700" w:type="dxa"/>
                </w:tcPr>
                <w:p w:rsidR="00380147" w:rsidRPr="00C5466B" w:rsidRDefault="00380147" w:rsidP="00380147">
                  <w:pPr>
                    <w:ind w:firstLine="0"/>
                    <w:rPr>
                      <w:sz w:val="24"/>
                    </w:rPr>
                  </w:pPr>
                  <w:r w:rsidRPr="00C5466B">
                    <w:rPr>
                      <w:sz w:val="24"/>
                    </w:rPr>
                    <w:t>Jepam</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r w:rsidRPr="00C5466B">
                    <w:rPr>
                      <w:sz w:val="24"/>
                    </w:rPr>
                    <w:t>The pum mi thi ki kie</w:t>
                  </w:r>
                </w:p>
              </w:tc>
              <w:tc>
                <w:tcPr>
                  <w:tcW w:w="2700" w:type="dxa"/>
                </w:tcPr>
                <w:p w:rsidR="00380147" w:rsidRPr="00C5466B" w:rsidRDefault="00380147" w:rsidP="00380147">
                  <w:pPr>
                    <w:ind w:firstLine="0"/>
                    <w:rPr>
                      <w:sz w:val="24"/>
                    </w:rPr>
                  </w:pPr>
                  <w:r w:rsidRPr="00C5466B">
                    <w:rPr>
                      <w:sz w:val="24"/>
                    </w:rPr>
                    <w:t>_ ki th _ _ kathaker kack</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p>
              </w:tc>
              <w:tc>
                <w:tcPr>
                  <w:tcW w:w="2700" w:type="dxa"/>
                </w:tcPr>
                <w:p w:rsidR="00380147" w:rsidRPr="00C5466B" w:rsidRDefault="00380147" w:rsidP="00380147">
                  <w:pPr>
                    <w:ind w:firstLine="0"/>
                    <w:rPr>
                      <w:sz w:val="24"/>
                    </w:rPr>
                  </w:pPr>
                  <w:r w:rsidRPr="00C5466B">
                    <w:rPr>
                      <w:sz w:val="24"/>
                    </w:rPr>
                    <w:t xml:space="preserve">_ i _ _ </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p>
              </w:tc>
              <w:tc>
                <w:tcPr>
                  <w:tcW w:w="2700" w:type="dxa"/>
                </w:tcPr>
                <w:p w:rsidR="00380147" w:rsidRPr="00C5466B" w:rsidRDefault="00380147" w:rsidP="00380147">
                  <w:pPr>
                    <w:ind w:firstLine="0"/>
                    <w:rPr>
                      <w:sz w:val="24"/>
                    </w:rPr>
                  </w:pPr>
                  <w:r w:rsidRPr="00C5466B">
                    <w:rPr>
                      <w:sz w:val="24"/>
                    </w:rPr>
                    <w:t>palk</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p>
              </w:tc>
              <w:tc>
                <w:tcPr>
                  <w:tcW w:w="2700" w:type="dxa"/>
                </w:tcPr>
                <w:p w:rsidR="00380147" w:rsidRPr="00C5466B" w:rsidRDefault="00380147" w:rsidP="00380147">
                  <w:pPr>
                    <w:ind w:firstLine="0"/>
                    <w:rPr>
                      <w:sz w:val="24"/>
                    </w:rPr>
                  </w:pPr>
                  <w:r w:rsidRPr="00C5466B">
                    <w:rPr>
                      <w:sz w:val="24"/>
                    </w:rPr>
                    <w:t>pier</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p>
              </w:tc>
              <w:tc>
                <w:tcPr>
                  <w:tcW w:w="2700" w:type="dxa"/>
                </w:tcPr>
                <w:p w:rsidR="00380147" w:rsidRPr="00C5466B" w:rsidRDefault="00380147" w:rsidP="00380147">
                  <w:pPr>
                    <w:ind w:firstLine="0"/>
                    <w:rPr>
                      <w:sz w:val="24"/>
                    </w:rPr>
                  </w:pPr>
                  <w:r w:rsidRPr="00C5466B">
                    <w:rPr>
                      <w:sz w:val="24"/>
                    </w:rPr>
                    <w:t xml:space="preserve">su </w:t>
                  </w:r>
                </w:p>
              </w:tc>
              <w:tc>
                <w:tcPr>
                  <w:tcW w:w="1548" w:type="dxa"/>
                </w:tcPr>
                <w:p w:rsidR="00380147" w:rsidRPr="00C5466B" w:rsidRDefault="00380147" w:rsidP="00380147">
                  <w:pPr>
                    <w:ind w:firstLine="0"/>
                    <w:rPr>
                      <w:sz w:val="24"/>
                    </w:rPr>
                  </w:pPr>
                </w:p>
              </w:tc>
            </w:tr>
            <w:tr w:rsidR="00380147" w:rsidRPr="00C5466B">
              <w:tc>
                <w:tcPr>
                  <w:tcW w:w="3330" w:type="dxa"/>
                </w:tcPr>
                <w:p w:rsidR="00380147" w:rsidRPr="00C5466B" w:rsidRDefault="00380147" w:rsidP="00380147">
                  <w:pPr>
                    <w:ind w:firstLine="0"/>
                    <w:rPr>
                      <w:sz w:val="24"/>
                    </w:rPr>
                  </w:pPr>
                </w:p>
              </w:tc>
              <w:tc>
                <w:tcPr>
                  <w:tcW w:w="2700" w:type="dxa"/>
                </w:tcPr>
                <w:p w:rsidR="00380147" w:rsidRPr="00C5466B" w:rsidRDefault="00380147" w:rsidP="00380147">
                  <w:pPr>
                    <w:ind w:firstLine="0"/>
                    <w:rPr>
                      <w:sz w:val="24"/>
                    </w:rPr>
                  </w:pPr>
                  <w:r w:rsidRPr="00C5466B">
                    <w:rPr>
                      <w:sz w:val="24"/>
                    </w:rPr>
                    <w:t>the</w:t>
                  </w:r>
                </w:p>
              </w:tc>
              <w:tc>
                <w:tcPr>
                  <w:tcW w:w="1548" w:type="dxa"/>
                </w:tcPr>
                <w:p w:rsidR="00380147" w:rsidRPr="00C5466B" w:rsidRDefault="00380147" w:rsidP="00380147">
                  <w:pPr>
                    <w:ind w:firstLine="0"/>
                    <w:rPr>
                      <w:sz w:val="24"/>
                    </w:rPr>
                  </w:pPr>
                </w:p>
              </w:tc>
            </w:tr>
          </w:tbl>
          <w:p w:rsidR="00380147" w:rsidRDefault="00380147" w:rsidP="00380147">
            <w:pPr>
              <w:spacing w:before="120" w:after="120"/>
              <w:ind w:left="90" w:right="104" w:firstLine="0"/>
              <w:jc w:val="both"/>
            </w:pPr>
          </w:p>
        </w:tc>
      </w:tr>
    </w:tbl>
    <w:p w:rsidR="00380147" w:rsidRDefault="00380147" w:rsidP="00380147">
      <w:pPr>
        <w:spacing w:before="120" w:after="120"/>
        <w:jc w:val="both"/>
      </w:pPr>
      <w:r w:rsidRPr="00F603DF">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380147">
        <w:tc>
          <w:tcPr>
            <w:tcW w:w="8060" w:type="dxa"/>
            <w:shd w:val="clear" w:color="auto" w:fill="EAF1DD"/>
          </w:tcPr>
          <w:p w:rsidR="00380147" w:rsidRDefault="00380147" w:rsidP="00380147">
            <w:pPr>
              <w:spacing w:before="120" w:after="120"/>
              <w:ind w:left="90" w:right="104" w:firstLine="0"/>
              <w:jc w:val="both"/>
            </w:pPr>
          </w:p>
          <w:p w:rsidR="00380147" w:rsidRDefault="00380147" w:rsidP="00380147">
            <w:pPr>
              <w:pStyle w:val="Niveau12"/>
            </w:pPr>
            <w:r w:rsidRPr="00F603DF">
              <w:t>La question autochtone au Québec depuis 25 ans</w:t>
            </w:r>
            <w:r>
              <w:t> </w:t>
            </w:r>
            <w:r w:rsidRPr="00F603DF">
              <w:t>:</w:t>
            </w:r>
            <w:r>
              <w:br/>
            </w:r>
            <w:r w:rsidRPr="00F603DF">
              <w:t>quelques rappels.</w:t>
            </w:r>
          </w:p>
          <w:p w:rsidR="00380147" w:rsidRDefault="00380147" w:rsidP="00380147">
            <w:pPr>
              <w:spacing w:before="120" w:after="120"/>
              <w:ind w:left="90" w:right="104" w:firstLine="0"/>
              <w:jc w:val="both"/>
            </w:pPr>
          </w:p>
          <w:p w:rsidR="00380147" w:rsidRPr="006223DE" w:rsidRDefault="00380147" w:rsidP="00380147">
            <w:pPr>
              <w:ind w:left="90" w:right="104" w:firstLine="0"/>
              <w:jc w:val="both"/>
              <w:rPr>
                <w:sz w:val="24"/>
              </w:rPr>
            </w:pPr>
            <w:hyperlink w:anchor="tdm" w:history="1">
              <w:r w:rsidRPr="006223DE">
                <w:rPr>
                  <w:rStyle w:val="Lienhypertexte"/>
                  <w:sz w:val="24"/>
                </w:rPr>
                <w:t>Retour à la table des matières</w:t>
              </w:r>
            </w:hyperlink>
          </w:p>
          <w:p w:rsidR="00380147" w:rsidRPr="006223DE" w:rsidRDefault="00380147" w:rsidP="00380147">
            <w:pPr>
              <w:spacing w:before="120" w:after="120"/>
              <w:ind w:left="90" w:right="104"/>
              <w:jc w:val="both"/>
              <w:rPr>
                <w:sz w:val="24"/>
              </w:rPr>
            </w:pPr>
            <w:r w:rsidRPr="006223DE">
              <w:rPr>
                <w:sz w:val="24"/>
              </w:rPr>
              <w:t>Les Cris signent la Convention de la Baie James (1975), laquelle constitue le premier traité moderne entre les gouvernements et la Pr</w:t>
            </w:r>
            <w:r w:rsidRPr="006223DE">
              <w:rPr>
                <w:sz w:val="24"/>
              </w:rPr>
              <w:t>e</w:t>
            </w:r>
            <w:r w:rsidRPr="006223DE">
              <w:rPr>
                <w:sz w:val="24"/>
              </w:rPr>
              <w:t>mière nation des Cris du Québec.</w:t>
            </w:r>
          </w:p>
          <w:p w:rsidR="00380147" w:rsidRPr="006223DE" w:rsidRDefault="00380147" w:rsidP="00380147">
            <w:pPr>
              <w:spacing w:before="120" w:after="120"/>
              <w:ind w:left="90" w:right="104"/>
              <w:jc w:val="both"/>
              <w:rPr>
                <w:sz w:val="24"/>
              </w:rPr>
            </w:pPr>
            <w:r w:rsidRPr="006223DE">
              <w:rPr>
                <w:sz w:val="24"/>
              </w:rPr>
              <w:t>La constitution canadienne reconnaît et confirme les droits ance</w:t>
            </w:r>
            <w:r w:rsidRPr="006223DE">
              <w:rPr>
                <w:sz w:val="24"/>
              </w:rPr>
              <w:t>s</w:t>
            </w:r>
            <w:r w:rsidRPr="006223DE">
              <w:rPr>
                <w:sz w:val="24"/>
              </w:rPr>
              <w:t>traux des Premières nations du Canada dont ceux des Premières n</w:t>
            </w:r>
            <w:r w:rsidRPr="006223DE">
              <w:rPr>
                <w:sz w:val="24"/>
              </w:rPr>
              <w:t>a</w:t>
            </w:r>
            <w:r w:rsidRPr="006223DE">
              <w:rPr>
                <w:sz w:val="24"/>
              </w:rPr>
              <w:t>tions du Québec en 1982. La constitution réfère explicitement à la Proclamation royale de 1763 et précise que les autochtones sont les Indiens, les Inuit et les Métis du Canada.</w:t>
            </w:r>
          </w:p>
          <w:p w:rsidR="00380147" w:rsidRPr="006223DE" w:rsidRDefault="00380147" w:rsidP="00380147">
            <w:pPr>
              <w:spacing w:before="120" w:after="120"/>
              <w:ind w:left="90" w:right="104"/>
              <w:jc w:val="both"/>
              <w:rPr>
                <w:sz w:val="24"/>
              </w:rPr>
            </w:pPr>
            <w:r w:rsidRPr="006223DE">
              <w:rPr>
                <w:sz w:val="24"/>
              </w:rPr>
              <w:t>Le gouvernement du Québec reconnaît les Premières nations a</w:t>
            </w:r>
            <w:r w:rsidRPr="006223DE">
              <w:rPr>
                <w:sz w:val="24"/>
              </w:rPr>
              <w:t>u</w:t>
            </w:r>
            <w:r w:rsidRPr="006223DE">
              <w:rPr>
                <w:sz w:val="24"/>
              </w:rPr>
              <w:t>tochtones sur son territoire en 1985. (Dupuis, 1999, p. 135 ; voir sur le sujet le point de vue innu, Cleary, 1989, p. 255)</w:t>
            </w:r>
          </w:p>
          <w:p w:rsidR="00380147" w:rsidRPr="006223DE" w:rsidRDefault="00380147" w:rsidP="00380147">
            <w:pPr>
              <w:spacing w:before="120" w:after="120"/>
              <w:ind w:left="90" w:right="104"/>
              <w:jc w:val="both"/>
              <w:rPr>
                <w:sz w:val="24"/>
              </w:rPr>
            </w:pPr>
            <w:r w:rsidRPr="006223DE">
              <w:rPr>
                <w:sz w:val="24"/>
              </w:rPr>
              <w:t>La Commission royale sur les Peuples autochtones du Canada p</w:t>
            </w:r>
            <w:r w:rsidRPr="006223DE">
              <w:rPr>
                <w:sz w:val="24"/>
              </w:rPr>
              <w:t>u</w:t>
            </w:r>
            <w:r w:rsidRPr="006223DE">
              <w:rPr>
                <w:sz w:val="24"/>
              </w:rPr>
              <w:t>blie son rapport en 1997 et invite les parties à régler les contentieux juridiques par la négociation.</w:t>
            </w:r>
          </w:p>
          <w:p w:rsidR="00380147" w:rsidRDefault="00380147" w:rsidP="00380147">
            <w:pPr>
              <w:spacing w:before="120" w:after="120"/>
              <w:ind w:left="90" w:right="104" w:firstLine="0"/>
              <w:jc w:val="both"/>
            </w:pPr>
            <w:r w:rsidRPr="006223DE">
              <w:rPr>
                <w:sz w:val="24"/>
              </w:rPr>
              <w:t>L’Approche commune de juin 2002 convient des éléments qui d</w:t>
            </w:r>
            <w:r w:rsidRPr="006223DE">
              <w:rPr>
                <w:sz w:val="24"/>
              </w:rPr>
              <w:t>e</w:t>
            </w:r>
            <w:r w:rsidRPr="006223DE">
              <w:rPr>
                <w:sz w:val="24"/>
              </w:rPr>
              <w:t>vraient mener à un traité moderne entre le fédéral, le Québec et quatre Premières nations i</w:t>
            </w:r>
            <w:r w:rsidRPr="006223DE">
              <w:rPr>
                <w:sz w:val="24"/>
              </w:rPr>
              <w:t>n</w:t>
            </w:r>
            <w:r w:rsidRPr="006223DE">
              <w:rPr>
                <w:sz w:val="24"/>
              </w:rPr>
              <w:t>nues.</w:t>
            </w:r>
          </w:p>
          <w:p w:rsidR="00380147" w:rsidRDefault="00380147" w:rsidP="00380147">
            <w:pPr>
              <w:spacing w:before="120" w:after="120"/>
              <w:ind w:left="90" w:right="104" w:firstLine="0"/>
              <w:jc w:val="both"/>
            </w:pPr>
          </w:p>
        </w:tc>
      </w:tr>
    </w:tbl>
    <w:p w:rsidR="00380147" w:rsidRDefault="00380147" w:rsidP="00380147">
      <w:pPr>
        <w:spacing w:before="120" w:after="120"/>
        <w:jc w:val="both"/>
      </w:pPr>
    </w:p>
    <w:p w:rsidR="00380147" w:rsidRDefault="00380147" w:rsidP="00380147">
      <w:pPr>
        <w:spacing w:before="120" w:after="120"/>
        <w:jc w:val="both"/>
      </w:pPr>
      <w:r w:rsidRPr="00F603DF">
        <w:br w:type="page"/>
      </w:r>
      <w:bookmarkStart w:id="4" w:name="protet_1851_5"/>
    </w:p>
    <w:p w:rsidR="00380147" w:rsidRDefault="00380147" w:rsidP="00380147">
      <w:pPr>
        <w:spacing w:before="120" w:after="120"/>
        <w:jc w:val="both"/>
        <w:rPr>
          <w:rStyle w:val="Appelnotedebasdep"/>
        </w:rPr>
      </w:pPr>
    </w:p>
    <w:p w:rsidR="00380147" w:rsidRPr="00F603DF" w:rsidRDefault="00380147" w:rsidP="00380147">
      <w:pPr>
        <w:pStyle w:val="planche"/>
      </w:pPr>
      <w:r w:rsidRPr="00F603DF">
        <w:t>Le contexte dans lequel</w:t>
      </w:r>
      <w:r>
        <w:br/>
      </w:r>
      <w:r w:rsidRPr="00F603DF">
        <w:t>le Protêt de 1851 est logé</w:t>
      </w:r>
    </w:p>
    <w:bookmarkEnd w:id="4"/>
    <w:p w:rsidR="00380147" w:rsidRDefault="00380147" w:rsidP="00380147">
      <w:pPr>
        <w:spacing w:before="120" w:after="120"/>
        <w:jc w:val="both"/>
        <w:rPr>
          <w:rStyle w:val="Appelnotedebasdep"/>
        </w:rPr>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Rappelons qu’à partir des années 1820 jusqu’à la Confédération de 1867, les gouvernements du Canada mèneront une multitude d’enquêtes sur la que</w:t>
      </w:r>
      <w:r w:rsidRPr="00F603DF">
        <w:t>s</w:t>
      </w:r>
      <w:r w:rsidRPr="00F603DF">
        <w:t>tion autochtone. Ces enquêtes ont pour but de diminuer les coûts de gestions des Affaires indiennes tout en évaluant les questions afférentes aux territoires. Pour importantes qu’elles soient, ces enquêtes ne font que très peu de cas des Indiens du Doma</w:t>
      </w:r>
      <w:r w:rsidRPr="00F603DF">
        <w:t>i</w:t>
      </w:r>
      <w:r w:rsidRPr="00F603DF">
        <w:t>ne du Roi. En somme, tout se passe comme si en dehors des territoires occupés ou à être occupés du Québec et de l’Ontario, les législ</w:t>
      </w:r>
      <w:r w:rsidRPr="00F603DF">
        <w:t>a</w:t>
      </w:r>
      <w:r w:rsidRPr="00F603DF">
        <w:t xml:space="preserve">teurs ne s’occupent pas de certains peuples nomades. </w:t>
      </w:r>
    </w:p>
    <w:p w:rsidR="00380147" w:rsidRPr="00F603DF" w:rsidRDefault="00380147" w:rsidP="00380147">
      <w:pPr>
        <w:spacing w:before="120" w:after="120"/>
        <w:jc w:val="both"/>
      </w:pPr>
      <w:r w:rsidRPr="00F603DF">
        <w:t>Les secteurs de Tadoussac, du Saguenay et du sud du lac Saint-Jean sont ouverts à la coupe du bois et à l'agriculture via la vente de terres privées à partir de 1842. Les Innus (Montagnais) se voient r</w:t>
      </w:r>
      <w:r w:rsidRPr="00F603DF">
        <w:t>e</w:t>
      </w:r>
      <w:r w:rsidRPr="00F603DF">
        <w:t>poussés vers l'ouest et vers le nord du Domaine du Roi. Afin d'améli</w:t>
      </w:r>
      <w:r w:rsidRPr="00F603DF">
        <w:t>o</w:t>
      </w:r>
      <w:r w:rsidRPr="00F603DF">
        <w:t>rer leurs conditions d'existence dev</w:t>
      </w:r>
      <w:r w:rsidRPr="00F603DF">
        <w:t>e</w:t>
      </w:r>
      <w:r w:rsidRPr="00F603DF">
        <w:t>nues précaires et de protéger leurs terres devant l'avance du front pionnier, les Innus font parvenir des requêtes aux gouvernements en place, sans résultats probants cepe</w:t>
      </w:r>
      <w:r w:rsidRPr="00F603DF">
        <w:t>n</w:t>
      </w:r>
      <w:r w:rsidRPr="00F603DF">
        <w:t>dant. Le document qui est analysé ici (voir texte intégral en e</w:t>
      </w:r>
      <w:r w:rsidRPr="00F603DF">
        <w:t>n</w:t>
      </w:r>
      <w:r w:rsidRPr="00F603DF">
        <w:t>cart) s'inscrit dans ce mouvement qui s'étend aussi vers la Côte-Nord</w:t>
      </w:r>
      <w:r>
        <w:t> </w:t>
      </w:r>
      <w:r>
        <w:rPr>
          <w:rStyle w:val="Appelnotedebasdep"/>
        </w:rPr>
        <w:footnoteReference w:id="3"/>
      </w:r>
      <w:r w:rsidRPr="00F603DF">
        <w:t>. Il détonne cependant sur toutes les autres requêtes, en ce sens qu'il d</w:t>
      </w:r>
      <w:r w:rsidRPr="00F603DF">
        <w:t>é</w:t>
      </w:r>
      <w:r w:rsidRPr="00F603DF">
        <w:t>nonce cla</w:t>
      </w:r>
      <w:r w:rsidRPr="00F603DF">
        <w:t>i</w:t>
      </w:r>
      <w:r w:rsidRPr="00F603DF">
        <w:t>rement la vente de terres en région de colonisation par la Couronne sans arrangement préalable sur le titre et les droits ance</w:t>
      </w:r>
      <w:r w:rsidRPr="00F603DF">
        <w:t>s</w:t>
      </w:r>
      <w:r w:rsidRPr="00F603DF">
        <w:t>traux des Innus sur leurs te</w:t>
      </w:r>
      <w:r w:rsidRPr="00F603DF">
        <w:t>r</w:t>
      </w:r>
      <w:r w:rsidRPr="00F603DF">
        <w:t>res.</w:t>
      </w:r>
      <w:r>
        <w:t> </w:t>
      </w:r>
      <w:r>
        <w:rPr>
          <w:rStyle w:val="Appelnotedebasdep"/>
        </w:rPr>
        <w:footnoteReference w:id="4"/>
      </w:r>
    </w:p>
    <w:p w:rsidR="00380147" w:rsidRPr="00F603DF" w:rsidRDefault="00380147" w:rsidP="00380147">
      <w:pPr>
        <w:spacing w:before="120" w:after="120"/>
        <w:jc w:val="both"/>
      </w:pPr>
      <w:r>
        <w:br w:type="page"/>
      </w:r>
    </w:p>
    <w:p w:rsidR="00380147" w:rsidRPr="00F603DF" w:rsidRDefault="00380147" w:rsidP="00380147">
      <w:pPr>
        <w:pStyle w:val="planche"/>
      </w:pPr>
      <w:bookmarkStart w:id="5" w:name="protet_1851_6"/>
      <w:r w:rsidRPr="00F603DF">
        <w:t>Mise en contexte</w:t>
      </w:r>
    </w:p>
    <w:bookmarkEnd w:id="5"/>
    <w:p w:rsidR="00380147" w:rsidRPr="00F603DF" w:rsidRDefault="00380147" w:rsidP="00380147">
      <w:pPr>
        <w:spacing w:before="120" w:after="120"/>
        <w:jc w:val="both"/>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À notre connaissance, c'est Gaston Gagnon qui, le premier, mit la main sur cette pièce digne d'intérêt et qui en fait part dans ses tr</w:t>
      </w:r>
      <w:r w:rsidRPr="00F603DF">
        <w:t>a</w:t>
      </w:r>
      <w:r w:rsidRPr="00F603DF">
        <w:t>vaux</w:t>
      </w:r>
      <w:r>
        <w:t> </w:t>
      </w:r>
      <w:r>
        <w:rPr>
          <w:rStyle w:val="Appelnotedebasdep"/>
        </w:rPr>
        <w:footnoteReference w:id="5"/>
      </w:r>
      <w:r w:rsidRPr="00F603DF">
        <w:t>. Au XIX</w:t>
      </w:r>
      <w:r w:rsidRPr="001E09F8">
        <w:rPr>
          <w:vertAlign w:val="superscript"/>
        </w:rPr>
        <w:t>e</w:t>
      </w:r>
      <w:r w:rsidRPr="00F603DF">
        <w:t xml:space="preserve"> siècle, la question des terres des autochtones se pose avec acuité. Au Canada-Ouest (qui constituait l'ancienne province du Haut-Canada jusqu’à l’Acte d’union de 1840) le gouvernement col</w:t>
      </w:r>
      <w:r w:rsidRPr="00F603DF">
        <w:t>o</w:t>
      </w:r>
      <w:r w:rsidRPr="00F603DF">
        <w:t>nial acquiert par cession ou achat les terres des autochtones avant qu'elles ne soient vendues aux colons. Au Canada-Est (a</w:t>
      </w:r>
      <w:r w:rsidRPr="00F603DF">
        <w:t>n</w:t>
      </w:r>
      <w:r w:rsidRPr="00F603DF">
        <w:t>ciennement le Bas-Canada, aujourd'hui Québec), la situation diffère, car le go</w:t>
      </w:r>
      <w:r w:rsidRPr="00F603DF">
        <w:t>u</w:t>
      </w:r>
      <w:r w:rsidRPr="00F603DF">
        <w:t>vernement laisse en suspens, en quelque sorte, la question des droits des autochtones sur leurs terres. La Proclamation royale de 1763 avait reconnu des droits aux autochtones sur les territoires non cédés situés tant dans les limites des colonies ainsi qu'à l'extérieur de celle-ci. Elle stipulait que des terres étaient réservées aux Indiens pour la chasse et qu'aucun titre de propriété ne pouvait être accordé sur ces terres sans achat ou cession préalables à la Co</w:t>
      </w:r>
      <w:r w:rsidRPr="00F603DF">
        <w:t>u</w:t>
      </w:r>
      <w:r w:rsidRPr="00F603DF">
        <w:t>ronne, celle-ci se réservant le droit exclusif d'acquérir les terres des autochtones</w:t>
      </w:r>
      <w:r>
        <w:t> </w:t>
      </w:r>
      <w:r>
        <w:rPr>
          <w:rStyle w:val="Appelnotedebasdep"/>
        </w:rPr>
        <w:footnoteReference w:id="6"/>
      </w:r>
      <w:r w:rsidRPr="00F603DF">
        <w:t>. Au cours du siècle su</w:t>
      </w:r>
      <w:r w:rsidRPr="00F603DF">
        <w:t>i</w:t>
      </w:r>
      <w:r w:rsidRPr="00F603DF">
        <w:t>vant, avec l'augmentation de la population imm</w:t>
      </w:r>
      <w:r w:rsidRPr="00F603DF">
        <w:t>i</w:t>
      </w:r>
      <w:r w:rsidRPr="00F603DF">
        <w:t>grante, une série de traités sont conclus, particulièrement entre les années 1850 et 1923, entre la Couronne et divers groupes amérindiens afin d'éteindre les droits des autochtones sur le territoire indien réservé d'abord, puis sur l'ensemble du territoire canadien qui s’étend de l’Ontario à la Colo</w:t>
      </w:r>
      <w:r w:rsidRPr="00F603DF">
        <w:t>m</w:t>
      </w:r>
      <w:r w:rsidRPr="00F603DF">
        <w:t>bie-Britannique, afin de pouvoir libérer des vastes étendues de terre à la colonis</w:t>
      </w:r>
      <w:r w:rsidRPr="00F603DF">
        <w:t>a</w:t>
      </w:r>
      <w:r w:rsidRPr="00F603DF">
        <w:t>tion</w:t>
      </w:r>
      <w:r>
        <w:t> </w:t>
      </w:r>
      <w:r>
        <w:rPr>
          <w:rStyle w:val="Appelnotedebasdep"/>
        </w:rPr>
        <w:footnoteReference w:id="7"/>
      </w:r>
      <w:r w:rsidRPr="00F603DF">
        <w:t>. Aucun traité de cession de territoire n’est conclu au Canada-Est (le Qu</w:t>
      </w:r>
      <w:r w:rsidRPr="00F603DF">
        <w:t>é</w:t>
      </w:r>
      <w:r w:rsidRPr="00F603DF">
        <w:t xml:space="preserve">bec actuel). </w:t>
      </w:r>
    </w:p>
    <w:p w:rsidR="00380147" w:rsidRPr="00F603DF" w:rsidRDefault="00380147" w:rsidP="00380147">
      <w:pPr>
        <w:spacing w:before="120" w:after="120"/>
        <w:jc w:val="both"/>
      </w:pPr>
      <w:r w:rsidRPr="00F603DF">
        <w:t>Si le XIX</w:t>
      </w:r>
      <w:r w:rsidRPr="00E26005">
        <w:rPr>
          <w:vertAlign w:val="superscript"/>
        </w:rPr>
        <w:t>e</w:t>
      </w:r>
      <w:r w:rsidRPr="00F603DF">
        <w:t xml:space="preserve"> siècle autochtone en est un de dépossession territoriale et de marginalisation qui aboutira à la création des réserves, à l'opp</w:t>
      </w:r>
      <w:r w:rsidRPr="00F603DF">
        <w:t>o</w:t>
      </w:r>
      <w:r w:rsidRPr="00F603DF">
        <w:t>sé, les relations établies entre les Couronnes européennes et autocht</w:t>
      </w:r>
      <w:r w:rsidRPr="00F603DF">
        <w:t>o</w:t>
      </w:r>
      <w:r w:rsidRPr="00F603DF">
        <w:t>nes, et en particulier les Innus, au cours des siècles précédents s'in</w:t>
      </w:r>
      <w:r w:rsidRPr="00F603DF">
        <w:t>s</w:t>
      </w:r>
      <w:r w:rsidRPr="00F603DF">
        <w:t xml:space="preserve">crivaient davantage dans un rapport d'égal à égal où la souveraineté de </w:t>
      </w:r>
      <w:r w:rsidRPr="00F603DF">
        <w:lastRenderedPageBreak/>
        <w:t>chacun était reconnue et assumée. Les droits des autochtones sur leurs terres n'entraient pas en cause dans les allia</w:t>
      </w:r>
      <w:r w:rsidRPr="00F603DF">
        <w:t>n</w:t>
      </w:r>
      <w:r w:rsidRPr="00F603DF">
        <w:t>ces et les traités conclus dès 1603 dans le but d'établir des partenariats militaires et économ</w:t>
      </w:r>
      <w:r w:rsidRPr="00F603DF">
        <w:t>i</w:t>
      </w:r>
      <w:r w:rsidRPr="00F603DF">
        <w:t>ques. Cette période prend fin, en ce qui concerne le Saguenay–Lac-Saint-Jean, à l'ouverture de la région à la colonisation, en 1842. L'un</w:t>
      </w:r>
      <w:r w:rsidRPr="00F603DF">
        <w:t>i</w:t>
      </w:r>
      <w:r w:rsidRPr="00F603DF">
        <w:t>que industrie du commerce des fourrures à laquelle était partie prena</w:t>
      </w:r>
      <w:r w:rsidRPr="00F603DF">
        <w:t>n</w:t>
      </w:r>
      <w:r w:rsidRPr="00F603DF">
        <w:t>te les Innus depuis l'instauration de la Traite de Tadoussac en 1652 se voit supplantée par celle du bois. La protection garantie sur le territo</w:t>
      </w:r>
      <w:r w:rsidRPr="00F603DF">
        <w:t>i</w:t>
      </w:r>
      <w:r w:rsidRPr="00F603DF">
        <w:t>re par le monopole contre l'intrusion blanche est levée, une nouvelle ère s'annonce pour les Innus, qui seront confinés aux territoires des réserves.</w:t>
      </w:r>
    </w:p>
    <w:p w:rsidR="00380147" w:rsidRPr="00F603DF" w:rsidRDefault="00380147" w:rsidP="00380147">
      <w:pPr>
        <w:spacing w:before="120" w:after="120"/>
        <w:jc w:val="both"/>
      </w:pPr>
      <w:r>
        <w:br w:type="page"/>
      </w:r>
    </w:p>
    <w:p w:rsidR="00380147" w:rsidRPr="00F603DF" w:rsidRDefault="002D644A" w:rsidP="00380147">
      <w:pPr>
        <w:spacing w:before="120" w:after="120"/>
        <w:ind w:left="-1710" w:firstLine="0"/>
        <w:jc w:val="right"/>
      </w:pPr>
      <w:r w:rsidRPr="00F603DF">
        <w:rPr>
          <w:noProof/>
        </w:rPr>
        <w:drawing>
          <wp:inline distT="0" distB="0" distL="0" distR="0">
            <wp:extent cx="6121400" cy="6121400"/>
            <wp:effectExtent l="25400" t="25400" r="12700" b="1270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6121400"/>
                    </a:xfrm>
                    <a:prstGeom prst="rect">
                      <a:avLst/>
                    </a:prstGeom>
                    <a:noFill/>
                    <a:ln w="19050" cmpd="sng">
                      <a:solidFill>
                        <a:srgbClr val="000000"/>
                      </a:solidFill>
                      <a:miter lim="800000"/>
                      <a:headEnd/>
                      <a:tailEnd/>
                    </a:ln>
                    <a:effectLst/>
                  </pic:spPr>
                </pic:pic>
              </a:graphicData>
            </a:graphic>
          </wp:inline>
        </w:drawing>
      </w:r>
    </w:p>
    <w:p w:rsidR="00380147" w:rsidRPr="00F603DF" w:rsidRDefault="00380147" w:rsidP="00380147">
      <w:pPr>
        <w:pStyle w:val="planche"/>
      </w:pPr>
      <w:r>
        <w:br w:type="page"/>
      </w:r>
      <w:bookmarkStart w:id="6" w:name="protet_1851_7"/>
      <w:r w:rsidRPr="00F603DF">
        <w:lastRenderedPageBreak/>
        <w:t>Les Innus au milieu du XIX</w:t>
      </w:r>
      <w:r w:rsidRPr="00E26005">
        <w:rPr>
          <w:vertAlign w:val="superscript"/>
        </w:rPr>
        <w:t>e</w:t>
      </w:r>
      <w:r w:rsidRPr="00F603DF">
        <w:t xml:space="preserve"> siècle</w:t>
      </w:r>
    </w:p>
    <w:bookmarkEnd w:id="6"/>
    <w:p w:rsidR="00380147" w:rsidRPr="00F603DF" w:rsidRDefault="00380147" w:rsidP="00380147">
      <w:pPr>
        <w:spacing w:before="120" w:after="120"/>
        <w:jc w:val="both"/>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En ce milieu du XIX</w:t>
      </w:r>
      <w:r w:rsidRPr="00E26005">
        <w:rPr>
          <w:vertAlign w:val="superscript"/>
        </w:rPr>
        <w:t>e</w:t>
      </w:r>
      <w:r w:rsidRPr="00F603DF">
        <w:t xml:space="preserve"> siècle, les Innus du Saguenay–Lac-Saint-Jean actuel se dénombrent semble-t-il à environ deux cents personnes</w:t>
      </w:r>
      <w:r w:rsidRPr="00F603DF">
        <w:rPr>
          <w:b/>
        </w:rPr>
        <w:t>.</w:t>
      </w:r>
      <w:r w:rsidRPr="00F603DF">
        <w:t xml:space="preserve"> Cependant, il faut convenir que sur l'ensemble du territoire, le déno</w:t>
      </w:r>
      <w:r w:rsidRPr="00F603DF">
        <w:t>m</w:t>
      </w:r>
      <w:r w:rsidRPr="00F603DF">
        <w:t>brement de la population innue s'avère certainement sous-évalué.</w:t>
      </w:r>
    </w:p>
    <w:p w:rsidR="00380147" w:rsidRPr="00F603DF" w:rsidRDefault="00380147" w:rsidP="00380147">
      <w:pPr>
        <w:spacing w:before="120" w:after="120"/>
        <w:jc w:val="both"/>
      </w:pPr>
      <w:r w:rsidRPr="00F603DF">
        <w:t>Pour exposer leurs revendications auprès du gouvernement, les I</w:t>
      </w:r>
      <w:r w:rsidRPr="00F603DF">
        <w:t>n</w:t>
      </w:r>
      <w:r w:rsidRPr="00F603DF">
        <w:t>nus n'interviennent pas eux-mêmes, mais ont recours à des interm</w:t>
      </w:r>
      <w:r w:rsidRPr="00F603DF">
        <w:t>é</w:t>
      </w:r>
      <w:r w:rsidRPr="00F603DF">
        <w:t>diaires. Les Innus du Saguenay s'adressent au gouvernement dès 1844 (Mailhot, Vincent 1979 : 16). Dans l'ensemble, les demandes deme</w:t>
      </w:r>
      <w:r w:rsidRPr="00F603DF">
        <w:t>u</w:t>
      </w:r>
      <w:r w:rsidRPr="00F603DF">
        <w:t>rent les mêmes, soit des terres r</w:t>
      </w:r>
      <w:r w:rsidRPr="00F603DF">
        <w:t>é</w:t>
      </w:r>
      <w:r w:rsidRPr="00F603DF">
        <w:t>servées et l'octroi d'aides de première nécessité. Mais, en 1851, ceux habitant le comté de Saguenay déc</w:t>
      </w:r>
      <w:r w:rsidRPr="00F603DF">
        <w:t>i</w:t>
      </w:r>
      <w:r w:rsidRPr="00F603DF">
        <w:t>dent de défendre et faire respecter leurs droits sur leurs terres. Pour ce faire, ils désignent des procureurs. Ceux-ci agiront dor</w:t>
      </w:r>
      <w:r w:rsidRPr="00F603DF">
        <w:t>é</w:t>
      </w:r>
      <w:r>
        <w:t>navant en leur nom “</w:t>
      </w:r>
      <w:r w:rsidRPr="00F603DF">
        <w:t>dans toutes les affaires qui concernent où</w:t>
      </w:r>
      <w:r>
        <w:t xml:space="preserve"> </w:t>
      </w:r>
      <w:r w:rsidRPr="00F603DF">
        <w:t>[sic] concern</w:t>
      </w:r>
      <w:r w:rsidRPr="00F603DF">
        <w:t>e</w:t>
      </w:r>
      <w:r w:rsidRPr="00F603DF">
        <w:t xml:space="preserve">ront nos intérêts à l’avenir”: Peter McLeod junior, John Lesueur et Frederick Braün. </w:t>
      </w:r>
    </w:p>
    <w:p w:rsidR="00380147" w:rsidRPr="00F603DF" w:rsidRDefault="00380147" w:rsidP="00380147">
      <w:pPr>
        <w:spacing w:before="120" w:after="120"/>
        <w:jc w:val="both"/>
      </w:pPr>
      <w:r w:rsidRPr="00F603DF">
        <w:t>Peter McLeod junior n'a pas à être présenté. Lui-même innu par sa mère, industriel forestier associé à William Price, fondateur de Ch</w:t>
      </w:r>
      <w:r w:rsidRPr="00F603DF">
        <w:t>i</w:t>
      </w:r>
      <w:r w:rsidRPr="00F603DF">
        <w:t>coutimi, il devint même chef des Montagnais du lac Saint-Jean, su</w:t>
      </w:r>
      <w:r w:rsidRPr="00F603DF">
        <w:t>c</w:t>
      </w:r>
      <w:r w:rsidRPr="00F603DF">
        <w:t>cédant en cette fonction au précédent chef Siméon</w:t>
      </w:r>
      <w:r>
        <w:t> </w:t>
      </w:r>
      <w:r>
        <w:rPr>
          <w:rStyle w:val="Appelnotedebasdep"/>
        </w:rPr>
        <w:footnoteReference w:id="8"/>
      </w:r>
      <w:r w:rsidRPr="00F603DF">
        <w:t>, décédé en 1849. McLeod mourut l'année suivant le protêt, en 1852</w:t>
      </w:r>
      <w:r>
        <w:t> </w:t>
      </w:r>
      <w:r>
        <w:rPr>
          <w:rStyle w:val="Appelnotedebasdep"/>
        </w:rPr>
        <w:footnoteReference w:id="9"/>
      </w:r>
      <w:r w:rsidRPr="00F603DF">
        <w:t xml:space="preserve">. </w:t>
      </w:r>
    </w:p>
    <w:p w:rsidR="00380147" w:rsidRPr="00F603DF" w:rsidRDefault="00380147" w:rsidP="00380147">
      <w:pPr>
        <w:spacing w:before="120" w:after="120"/>
        <w:jc w:val="both"/>
      </w:pPr>
      <w:r w:rsidRPr="00F603DF">
        <w:t xml:space="preserve">Les données recueillies sur John Lesueur sont peu nombreuses. On sait qu'il a travaillé pour le compte de William Price. C'est ce dernier qui l'envoya passer l'hiver 1847-1848 au Saguenay afin d'enquêter sur </w:t>
      </w:r>
      <w:r w:rsidRPr="00F603DF">
        <w:lastRenderedPageBreak/>
        <w:t>son associé Peter McLeod junior. Les livres de comptes de la comp</w:t>
      </w:r>
      <w:r w:rsidRPr="00F603DF">
        <w:t>a</w:t>
      </w:r>
      <w:r w:rsidRPr="00F603DF">
        <w:t>gnie Price rapporte Lesueur comme client du magasin en 1847-1848. Lesueur aurait également travaillé à l'Anse-aux-foins (aujourd'hui Saint-Fulgence) possiblement à l'époque où la scierie était alors po</w:t>
      </w:r>
      <w:r w:rsidRPr="00F603DF">
        <w:t>s</w:t>
      </w:r>
      <w:r w:rsidRPr="00F603DF">
        <w:t>sédée par Fraser et son associé et gérée par Anderson</w:t>
      </w:r>
      <w:r>
        <w:t> </w:t>
      </w:r>
      <w:r>
        <w:rPr>
          <w:rStyle w:val="Appelnotedebasdep"/>
        </w:rPr>
        <w:footnoteReference w:id="10"/>
      </w:r>
      <w:r w:rsidRPr="00F603DF">
        <w:t>.</w:t>
      </w:r>
    </w:p>
    <w:p w:rsidR="00380147" w:rsidRPr="00F603DF" w:rsidRDefault="00380147" w:rsidP="00380147">
      <w:pPr>
        <w:spacing w:before="120" w:after="120"/>
        <w:jc w:val="both"/>
      </w:pPr>
      <w:r w:rsidRPr="00F603DF">
        <w:t>Le dernier procureur, Frederick Braun, est avocat. Né à Québec en 1826, il est admis au barreau en 1848. Il est résidant du canton de Chicoutimi en 1851. Il fait partie des premiers avocats ayant exercé devant la cour de circuit du Saguenay, mise sur pied en 1849. Il a œ</w:t>
      </w:r>
      <w:r w:rsidRPr="00F603DF">
        <w:t>u</w:t>
      </w:r>
      <w:r w:rsidRPr="00F603DF">
        <w:t>vré plus tard au département des Tr</w:t>
      </w:r>
      <w:r w:rsidRPr="00F603DF">
        <w:t>a</w:t>
      </w:r>
      <w:r w:rsidRPr="00F603DF">
        <w:t>vaux publics du Canada comme secrétaire du département et à celui des Ch</w:t>
      </w:r>
      <w:r w:rsidRPr="00F603DF">
        <w:t>e</w:t>
      </w:r>
      <w:r w:rsidRPr="00F603DF">
        <w:t>mins de fer et canaux. Il est décédé à Québec en 1891</w:t>
      </w:r>
      <w:r>
        <w:t> </w:t>
      </w:r>
      <w:r>
        <w:rPr>
          <w:rStyle w:val="Appelnotedebasdep"/>
        </w:rPr>
        <w:footnoteReference w:id="11"/>
      </w:r>
      <w:r>
        <w:t>.</w:t>
      </w:r>
    </w:p>
    <w:p w:rsidR="00380147" w:rsidRPr="00F603DF" w:rsidRDefault="00380147" w:rsidP="00380147">
      <w:pPr>
        <w:spacing w:before="120" w:after="120"/>
        <w:jc w:val="both"/>
      </w:pPr>
      <w:r w:rsidRPr="00F603DF">
        <w:t>Si la position hiérarchique occupée par McLeod dans la société e</w:t>
      </w:r>
      <w:r w:rsidRPr="00F603DF">
        <w:t>u</w:t>
      </w:r>
      <w:r w:rsidRPr="00F603DF">
        <w:t>ro-canadienne et dans la société montagnaise ainsi que la profession de Braun justifient leur rôle de représentants, il n'en va pas de même pour Lesueur dont la raison expliquant la présence demeure pour le moment obscure. Pourquoi les Montagnais ont-ils recours à ses serv</w:t>
      </w:r>
      <w:r w:rsidRPr="00F603DF">
        <w:t>i</w:t>
      </w:r>
      <w:r w:rsidRPr="00F603DF">
        <w:t>ces</w:t>
      </w:r>
      <w:r>
        <w:t> </w:t>
      </w:r>
      <w:r w:rsidRPr="00F603DF">
        <w:t>? Agissait-il comme conseiller de McLeod</w:t>
      </w:r>
      <w:r>
        <w:t> </w:t>
      </w:r>
      <w:r w:rsidRPr="00F603DF">
        <w:t>?</w:t>
      </w:r>
    </w:p>
    <w:p w:rsidR="00380147" w:rsidRPr="00F603DF" w:rsidRDefault="00380147" w:rsidP="00380147">
      <w:pPr>
        <w:spacing w:before="120" w:after="120"/>
        <w:jc w:val="both"/>
      </w:pPr>
      <w:r w:rsidRPr="00F603DF">
        <w:t>Un acte de procuration nommant McLeod, Lesueur et Braun leurs repr</w:t>
      </w:r>
      <w:r w:rsidRPr="00F603DF">
        <w:t>é</w:t>
      </w:r>
      <w:r w:rsidRPr="00F603DF">
        <w:t>sentants est donc signé à Chicoutimi le 12 juillet 1851 par trente-huit Innus. Quatre jours plus tard, les nouveaux procureurs, acte en mains et accomp</w:t>
      </w:r>
      <w:r w:rsidRPr="00F603DF">
        <w:t>a</w:t>
      </w:r>
      <w:r w:rsidRPr="00F603DF">
        <w:t>gnés, suivant leur propre demande, des notaires Ovide Bossé</w:t>
      </w:r>
      <w:r>
        <w:t> </w:t>
      </w:r>
      <w:r>
        <w:rPr>
          <w:rStyle w:val="Appelnotedebasdep"/>
        </w:rPr>
        <w:footnoteReference w:id="12"/>
      </w:r>
      <w:r w:rsidRPr="00F603DF">
        <w:t xml:space="preserve"> et Louis-Zéphirin Rousseau</w:t>
      </w:r>
      <w:r>
        <w:t> </w:t>
      </w:r>
      <w:r>
        <w:rPr>
          <w:rStyle w:val="Appelnotedebasdep"/>
        </w:rPr>
        <w:footnoteReference w:id="13"/>
      </w:r>
      <w:r w:rsidRPr="00F603DF">
        <w:t xml:space="preserve"> se rendent à la Gra</w:t>
      </w:r>
      <w:r w:rsidRPr="00F603DF">
        <w:t>n</w:t>
      </w:r>
      <w:r w:rsidRPr="00F603DF">
        <w:t>de-</w:t>
      </w:r>
      <w:r w:rsidRPr="00F603DF">
        <w:lastRenderedPageBreak/>
        <w:t>Baie (aujourd'hui La Baie) chez le notaire John Kane. C’est dans la résidence de ce dernier que le protêt est dre</w:t>
      </w:r>
      <w:r w:rsidRPr="00F603DF">
        <w:t>s</w:t>
      </w:r>
      <w:r w:rsidRPr="00F603DF">
        <w:t>sé</w:t>
      </w:r>
      <w:r>
        <w:t> </w:t>
      </w:r>
      <w:r>
        <w:rPr>
          <w:rStyle w:val="Appelnotedebasdep"/>
        </w:rPr>
        <w:footnoteReference w:id="14"/>
      </w:r>
      <w:r>
        <w:t>.</w:t>
      </w:r>
    </w:p>
    <w:p w:rsidR="00380147" w:rsidRPr="00F603DF" w:rsidRDefault="00380147" w:rsidP="00380147">
      <w:pPr>
        <w:spacing w:before="120" w:after="120"/>
        <w:jc w:val="both"/>
      </w:pPr>
      <w:r w:rsidRPr="00F603DF">
        <w:t>John Kane résidait à Grande-Baie depuis 1846. Il avait d'abord h</w:t>
      </w:r>
      <w:r w:rsidRPr="00F603DF">
        <w:t>a</w:t>
      </w:r>
      <w:r w:rsidRPr="00F603DF">
        <w:t>bité la région de Charlevoix où il avait fait ses débuts à titre de nota</w:t>
      </w:r>
      <w:r w:rsidRPr="00F603DF">
        <w:t>i</w:t>
      </w:r>
      <w:r w:rsidRPr="00F603DF">
        <w:t>re. En 1843, il avait été nommé agent des terres du gouvernement pour le district du Sagu</w:t>
      </w:r>
      <w:r w:rsidRPr="00F603DF">
        <w:t>e</w:t>
      </w:r>
      <w:r w:rsidRPr="00F603DF">
        <w:t>nay, poste qu'il occupera jusqu'en 1858. Il avait accompagné, en 1845, Denis-Benjamin Papineau, commissaire des terres de la Couronne, lors de son voy</w:t>
      </w:r>
      <w:r w:rsidRPr="00F603DF">
        <w:t>a</w:t>
      </w:r>
      <w:r w:rsidRPr="00F603DF">
        <w:t>ge au Saguenay. La même année qu’il s’installe à Grande-Baie, il est élu commissaire de la pr</w:t>
      </w:r>
      <w:r w:rsidRPr="00F603DF">
        <w:t>e</w:t>
      </w:r>
      <w:r w:rsidRPr="00F603DF">
        <w:t>mière commission scolaire de Grande-Baie. Au moment du protêt, il remplit, en outre, la fonction de maire de la municipalité de la d</w:t>
      </w:r>
      <w:r w:rsidRPr="00F603DF">
        <w:t>i</w:t>
      </w:r>
      <w:r w:rsidRPr="00F603DF">
        <w:t>vision no 2 du comté Saguenay et celle de marguillier de la paroisse. Lor</w:t>
      </w:r>
      <w:r w:rsidRPr="00F603DF">
        <w:t>s</w:t>
      </w:r>
      <w:r w:rsidRPr="00F603DF">
        <w:t>que, en 1855, on abolit les municipalités de comté pour créer les m</w:t>
      </w:r>
      <w:r w:rsidRPr="00F603DF">
        <w:t>u</w:t>
      </w:r>
      <w:r w:rsidRPr="00F603DF">
        <w:t>nicipalités de canton, Kane deviendra maire du canton Bagot et sera élu préfet du comté</w:t>
      </w:r>
      <w:r>
        <w:t> </w:t>
      </w:r>
      <w:r>
        <w:rPr>
          <w:rStyle w:val="Appelnotedebasdep"/>
        </w:rPr>
        <w:footnoteReference w:id="15"/>
      </w:r>
      <w:r>
        <w:t>.</w:t>
      </w:r>
    </w:p>
    <w:p w:rsidR="00380147" w:rsidRDefault="00380147" w:rsidP="00380147">
      <w:pPr>
        <w:spacing w:before="120" w:after="120"/>
        <w:jc w:val="both"/>
      </w:pPr>
      <w:r w:rsidRPr="00F603DF">
        <w:lastRenderedPageBreak/>
        <w:t>Les Innus qui signent l'acte de procuration disent habiter le “Township [ou Territoire] de Saguenay”. On peut supposer que l'e</w:t>
      </w:r>
      <w:r w:rsidRPr="00F603DF">
        <w:t>x</w:t>
      </w:r>
      <w:r w:rsidRPr="00F603DF">
        <w:t>pression réfère au comté de Saguenay qui inclut le lac Saint-Jean. Le protêt précise que les signataires habitent les cantons de Jonquière, Kénogami, Caron, Signai, Labarre, Mesy et Métabetchouan.</w:t>
      </w:r>
      <w:r w:rsidRPr="00F603DF">
        <w:rPr>
          <w:b/>
        </w:rPr>
        <w:t xml:space="preserve"> </w:t>
      </w:r>
      <w:r w:rsidRPr="00F603DF">
        <w:t>Il s'agit de toute la rive sud-ouest de la rivière Saguenay ju</w:t>
      </w:r>
      <w:r w:rsidRPr="00F603DF">
        <w:t>s</w:t>
      </w:r>
      <w:r w:rsidRPr="00F603DF">
        <w:t xml:space="preserve">qu’au sud-est du lac </w:t>
      </w:r>
      <w:r>
        <w:t>Saint-Jean (Girard, Perron 1995 </w:t>
      </w:r>
      <w:r w:rsidRPr="00F603DF">
        <w:t>: 131).</w:t>
      </w:r>
    </w:p>
    <w:p w:rsidR="00380147" w:rsidRPr="00F603DF" w:rsidRDefault="00380147" w:rsidP="00380147">
      <w:pPr>
        <w:spacing w:before="120" w:after="120"/>
        <w:jc w:val="both"/>
      </w:pPr>
    </w:p>
    <w:p w:rsidR="00380147" w:rsidRDefault="002D644A" w:rsidP="00380147">
      <w:pPr>
        <w:spacing w:before="120" w:after="120"/>
        <w:ind w:left="-1800" w:right="-180" w:firstLine="0"/>
        <w:jc w:val="both"/>
      </w:pPr>
      <w:r w:rsidRPr="00F603DF">
        <w:rPr>
          <w:noProof/>
        </w:rPr>
        <w:drawing>
          <wp:inline distT="0" distB="0" distL="0" distR="0">
            <wp:extent cx="6228715" cy="4754880"/>
            <wp:effectExtent l="25400" t="25400" r="6985" b="7620"/>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8715" cy="4754880"/>
                    </a:xfrm>
                    <a:prstGeom prst="rect">
                      <a:avLst/>
                    </a:prstGeom>
                    <a:noFill/>
                    <a:ln w="19050" cmpd="sng">
                      <a:solidFill>
                        <a:srgbClr val="000000"/>
                      </a:solidFill>
                      <a:miter lim="800000"/>
                      <a:headEnd/>
                      <a:tailEnd/>
                    </a:ln>
                    <a:effectLst/>
                  </pic:spPr>
                </pic:pic>
              </a:graphicData>
            </a:graphic>
          </wp:inline>
        </w:drawing>
      </w:r>
    </w:p>
    <w:p w:rsidR="00380147" w:rsidRPr="00F603DF" w:rsidRDefault="00380147" w:rsidP="00380147">
      <w:pPr>
        <w:spacing w:before="120" w:after="120"/>
        <w:jc w:val="both"/>
      </w:pPr>
      <w:r>
        <w:br w:type="page"/>
      </w:r>
      <w:r w:rsidRPr="00F603DF">
        <w:lastRenderedPageBreak/>
        <w:t>L'objectif du protêt est d'empêcher John Kane, agent des terres de la Couro</w:t>
      </w:r>
      <w:r w:rsidRPr="00F603DF">
        <w:t>n</w:t>
      </w:r>
      <w:r w:rsidRPr="00F603DF">
        <w:t>ne, de procéder à la vente de lots de terres dans les cantons Jonquière, Kinogami, Caron, Signai, Labarre, Mesy et Métabe</w:t>
      </w:r>
      <w:r w:rsidRPr="00F603DF">
        <w:t>t</w:t>
      </w:r>
      <w:r w:rsidRPr="00F603DF">
        <w:t>chouan, bien qu'il ait été requis de le faire dans le cadre de ses fon</w:t>
      </w:r>
      <w:r w:rsidRPr="00F603DF">
        <w:t>c</w:t>
      </w:r>
      <w:r w:rsidRPr="00F603DF">
        <w:t>tions. Le protêt mentionne que ces lots ont été précédemment anno</w:t>
      </w:r>
      <w:r w:rsidRPr="00F603DF">
        <w:t>n</w:t>
      </w:r>
      <w:r w:rsidRPr="00F603DF">
        <w:t xml:space="preserve">cés en vente. Or, ce sont précisément ces cantons que les Innus disent habiter. Ils protestent en arguant que : </w:t>
      </w:r>
    </w:p>
    <w:p w:rsidR="00380147" w:rsidRPr="00F603DF" w:rsidRDefault="00380147" w:rsidP="00380147">
      <w:pPr>
        <w:pStyle w:val="Grillecouleur-Accent1"/>
      </w:pPr>
    </w:p>
    <w:p w:rsidR="00380147" w:rsidRPr="00F603DF" w:rsidRDefault="00380147" w:rsidP="00380147">
      <w:pPr>
        <w:pStyle w:val="Grillecouleur-Accent1"/>
      </w:pPr>
      <w:r w:rsidRPr="00F603DF">
        <w:t>... les dites terres sont la propriété des dits Sauvages Montagnais d</w:t>
      </w:r>
      <w:r w:rsidRPr="00F603DF">
        <w:t>e</w:t>
      </w:r>
      <w:r w:rsidRPr="00F603DF">
        <w:t>puis un temps immémorial que de tous temps le territoire sur lequel se trouvent situées ces terres a été leur propriété &amp; en leur possession, leur servant de résidence &amp; comme terrains de chasse seul moyen d'existence pour eux &amp; leurs familles; que le gouvernement ne peut sans être en contravention à toutes lois existantes, vendre leurs terres sans avoir trans</w:t>
      </w:r>
      <w:r w:rsidRPr="00F603DF">
        <w:t>i</w:t>
      </w:r>
      <w:r w:rsidRPr="00F603DF">
        <w:t>gé préalablement avec eux pour leurs droits de po</w:t>
      </w:r>
      <w:r w:rsidRPr="00F603DF">
        <w:t>s</w:t>
      </w:r>
      <w:r w:rsidRPr="00F603DF">
        <w:t>session &amp; de propriété.</w:t>
      </w:r>
    </w:p>
    <w:p w:rsidR="00380147" w:rsidRPr="00F603DF" w:rsidRDefault="00380147" w:rsidP="00380147">
      <w:pPr>
        <w:pStyle w:val="Grillecouleur-Accent1"/>
      </w:pPr>
    </w:p>
    <w:p w:rsidR="00380147" w:rsidRPr="00F603DF" w:rsidRDefault="00380147" w:rsidP="00380147">
      <w:pPr>
        <w:spacing w:before="120" w:after="120"/>
        <w:jc w:val="both"/>
      </w:pPr>
      <w:r w:rsidRPr="00F603DF">
        <w:t>Notons les mentions</w:t>
      </w:r>
      <w:r>
        <w:t> </w:t>
      </w:r>
      <w:r w:rsidRPr="00F603DF">
        <w:t>: terres et territoire. Les Innus proclament qu'ils sont propriétaires non seulement des terres en litige, mais d'un ensemble plus vaste, le territoire où sont situées ces terres. Leur pr</w:t>
      </w:r>
      <w:r w:rsidRPr="00F603DF">
        <w:t>o</w:t>
      </w:r>
      <w:r w:rsidRPr="00F603DF">
        <w:t>priété déborde par conséquent les limites des cantons où ces terres ont été mises en vente. Ils dénoncent la vente de terres qui, sans arrang</w:t>
      </w:r>
      <w:r w:rsidRPr="00F603DF">
        <w:t>e</w:t>
      </w:r>
      <w:r w:rsidRPr="00F603DF">
        <w:t>ment préalable avec eux, constitue une spoli</w:t>
      </w:r>
      <w:r w:rsidRPr="00F603DF">
        <w:t>a</w:t>
      </w:r>
      <w:r w:rsidRPr="00F603DF">
        <w:t>tion, une illégalité. La propriété de leurs terres est proclamée</w:t>
      </w:r>
      <w:r>
        <w:t> </w:t>
      </w:r>
      <w:r w:rsidRPr="00F603DF">
        <w:t xml:space="preserve">: </w:t>
      </w:r>
    </w:p>
    <w:p w:rsidR="00380147" w:rsidRDefault="00380147" w:rsidP="00380147">
      <w:pPr>
        <w:pStyle w:val="Grillecouleur-Accent1"/>
      </w:pPr>
    </w:p>
    <w:p w:rsidR="00380147" w:rsidRDefault="00380147" w:rsidP="00380147">
      <w:pPr>
        <w:pStyle w:val="Grillecouleur-Accent1"/>
      </w:pPr>
      <w:r w:rsidRPr="00F603DF">
        <w:t>La couronne d'Angleterre, en conquérant le pays, n'a pas conquis leur droit de propriété et de possession sur ces terres que le premier Sauvage Montagnais, premier père d'iceux, a eu pour partage de la divine provide</w:t>
      </w:r>
      <w:r w:rsidRPr="00F603DF">
        <w:t>n</w:t>
      </w:r>
      <w:r w:rsidRPr="00F603DF">
        <w:t>ce pour nourrir et souten</w:t>
      </w:r>
      <w:r>
        <w:t>ir les descendants de sa tribu.</w:t>
      </w:r>
    </w:p>
    <w:p w:rsidR="00380147" w:rsidRPr="00F603DF" w:rsidRDefault="00380147" w:rsidP="00380147">
      <w:pPr>
        <w:pStyle w:val="Grillecouleur-Accent1"/>
      </w:pPr>
    </w:p>
    <w:p w:rsidR="00380147" w:rsidRPr="00F603DF" w:rsidRDefault="00380147" w:rsidP="00380147">
      <w:pPr>
        <w:spacing w:before="120" w:after="120"/>
        <w:jc w:val="both"/>
      </w:pPr>
      <w:r w:rsidRPr="00F603DF">
        <w:t>Les Innus rejettent les prétentions de la Couronne britannique sur leur territoire ancestral. Ce sont eux les propriétaires du sol qu'ils h</w:t>
      </w:r>
      <w:r w:rsidRPr="00F603DF">
        <w:t>a</w:t>
      </w:r>
      <w:r w:rsidRPr="00F603DF">
        <w:t>bitent depuis des temps immémoriaux. L'expression “propriété et po</w:t>
      </w:r>
      <w:r w:rsidRPr="00F603DF">
        <w:t>s</w:t>
      </w:r>
      <w:r w:rsidRPr="00F603DF">
        <w:t>session” exclut toute référence à un droit d'usage seul, ce qui s</w:t>
      </w:r>
      <w:r w:rsidRPr="00F603DF">
        <w:t>e</w:t>
      </w:r>
      <w:r w:rsidRPr="00F603DF">
        <w:t>rait incompatible avec l'indépendance première de la nation innue. R</w:t>
      </w:r>
      <w:r w:rsidRPr="00F603DF">
        <w:t>e</w:t>
      </w:r>
      <w:r w:rsidRPr="00F603DF">
        <w:t>marquons que les Innus ne font que répéter ici ce que tous les autoc</w:t>
      </w:r>
      <w:r w:rsidRPr="00F603DF">
        <w:t>h</w:t>
      </w:r>
      <w:r w:rsidRPr="00F603DF">
        <w:t>tones ont toujours déclaré aux Européens, comme quoi leurs te</w:t>
      </w:r>
      <w:r w:rsidRPr="00F603DF">
        <w:t>r</w:t>
      </w:r>
      <w:r w:rsidRPr="00F603DF">
        <w:t xml:space="preserve">res leur appartenaient (Morin, Michel 1997 : 28). </w:t>
      </w:r>
    </w:p>
    <w:p w:rsidR="00380147" w:rsidRPr="00F603DF" w:rsidRDefault="00380147" w:rsidP="00380147">
      <w:pPr>
        <w:spacing w:before="120" w:after="120"/>
        <w:jc w:val="both"/>
      </w:pPr>
      <w:r w:rsidRPr="00F603DF">
        <w:lastRenderedPageBreak/>
        <w:t>Sans s'y référer nommément, ce document s'en remet à la Procl</w:t>
      </w:r>
      <w:r w:rsidRPr="00F603DF">
        <w:t>a</w:t>
      </w:r>
      <w:r w:rsidRPr="00F603DF">
        <w:t>mation royale de 1763 (sans être en contravention à toutes lois exi</w:t>
      </w:r>
      <w:r w:rsidRPr="00F603DF">
        <w:t>s</w:t>
      </w:r>
      <w:r w:rsidRPr="00F603DF">
        <w:t>tantes qui obligeait à transiger avec les autochtones par achat ou ce</w:t>
      </w:r>
      <w:r w:rsidRPr="00F603DF">
        <w:t>s</w:t>
      </w:r>
      <w:r w:rsidRPr="00F603DF">
        <w:t>sion à la Couronne avant de procéder à toute vente de leurs terres à des particuliers. Mais, la source de leurs droits sur laquelle les Innus appuient leur revendication demeure leur occupation et leur utilisation (“leur servant de résidence &amp; comme terrains de chasse”) antérieure (“depuis un temps immé</w:t>
      </w:r>
      <w:r>
        <w:t>morial</w:t>
      </w:r>
      <w:r w:rsidRPr="00F603DF">
        <w:t>”) et actuelle (“de tous temps”, ce qui inclut le temps présent) du territoire. Les Innus exigent du gouvern</w:t>
      </w:r>
      <w:r w:rsidRPr="00F603DF">
        <w:t>e</w:t>
      </w:r>
      <w:r w:rsidRPr="00F603DF">
        <w:t>ment colonial qu'il transige avec eux, comme il le fait dans le Can</w:t>
      </w:r>
      <w:r w:rsidRPr="00F603DF">
        <w:t>a</w:t>
      </w:r>
      <w:r w:rsidRPr="00F603DF">
        <w:t>da-Ouest avec les groupes autochtones, en concluant des traités de ce</w:t>
      </w:r>
      <w:r w:rsidRPr="00F603DF">
        <w:t>s</w:t>
      </w:r>
      <w:r w:rsidRPr="00F603DF">
        <w:t>sion de terres. Ils ne repoussent pas la présence de la Couronne br</w:t>
      </w:r>
      <w:r w:rsidRPr="00F603DF">
        <w:t>i</w:t>
      </w:r>
      <w:r w:rsidRPr="00F603DF">
        <w:t>tannique en terre d'Amérique. D'autres textes de leurs revendications au XIX</w:t>
      </w:r>
      <w:r w:rsidRPr="00E26005">
        <w:rPr>
          <w:vertAlign w:val="superscript"/>
        </w:rPr>
        <w:t>e</w:t>
      </w:r>
      <w:r w:rsidRPr="00F603DF">
        <w:t xml:space="preserve"> siècle démontrent qu'ils souhaitent plutôt s'associer à elle et jouir de sa protection. Mais, ils ne renoncent pas pour autant à leurs droits : </w:t>
      </w:r>
    </w:p>
    <w:p w:rsidR="00380147" w:rsidRDefault="00380147" w:rsidP="00380147">
      <w:pPr>
        <w:pStyle w:val="Grillecouleur-Accent1"/>
      </w:pPr>
    </w:p>
    <w:p w:rsidR="00380147" w:rsidRDefault="00380147" w:rsidP="00380147">
      <w:pPr>
        <w:pStyle w:val="Grillecouleur-Accent1"/>
      </w:pPr>
      <w:r w:rsidRPr="00F603DF">
        <w:t>En conséquence, nous dits notaires [...] avons sommé, requis &amp; inte</w:t>
      </w:r>
      <w:r w:rsidRPr="00F603DF">
        <w:t>r</w:t>
      </w:r>
      <w:r w:rsidRPr="00F603DF">
        <w:t>pellé le dit John Kane [...] de ne faire aucune vente, cession ou dons des sus dites terres à qui que ce soit à moins qu'il arrive à sa connai</w:t>
      </w:r>
      <w:r w:rsidRPr="00F603DF">
        <w:t>s</w:t>
      </w:r>
      <w:r w:rsidRPr="00F603DF">
        <w:t>sance par des documents authentique</w:t>
      </w:r>
      <w:r>
        <w:t xml:space="preserve"> </w:t>
      </w:r>
      <w:r w:rsidRPr="00F603DF">
        <w:t>[sic] que le gouvernement de ce</w:t>
      </w:r>
      <w:r w:rsidRPr="00F603DF">
        <w:t>t</w:t>
      </w:r>
      <w:r w:rsidRPr="00F603DF">
        <w:t>te Province aurait transigé avec les dits Sauvages quant à leurs droits de propriété &amp; de possession sus mentionnés...</w:t>
      </w:r>
    </w:p>
    <w:p w:rsidR="00380147" w:rsidRPr="00F603DF" w:rsidRDefault="00380147" w:rsidP="00380147">
      <w:pPr>
        <w:pStyle w:val="Grillecouleur-Accent1"/>
      </w:pPr>
    </w:p>
    <w:p w:rsidR="00380147" w:rsidRPr="00F603DF" w:rsidRDefault="00380147" w:rsidP="00380147">
      <w:pPr>
        <w:spacing w:before="120" w:after="120"/>
        <w:jc w:val="both"/>
      </w:pPr>
      <w:r w:rsidRPr="00F603DF">
        <w:t>Les Innus exigent que le gouvernement fasse voir les textes des e</w:t>
      </w:r>
      <w:r w:rsidRPr="00F603DF">
        <w:t>n</w:t>
      </w:r>
      <w:r w:rsidRPr="00F603DF">
        <w:t>tentes qui auraient été conclues par le passé et qui attesteraient qu'il peut occuper et s'emparer des terres comme il le fait. En cas de non respect de leurs droits</w:t>
      </w:r>
      <w:r>
        <w:t> </w:t>
      </w:r>
      <w:r w:rsidRPr="00F603DF">
        <w:t>:</w:t>
      </w:r>
    </w:p>
    <w:p w:rsidR="00380147" w:rsidRPr="00F603DF" w:rsidRDefault="00380147" w:rsidP="00380147">
      <w:pPr>
        <w:pStyle w:val="Grillecouleur-Accent1"/>
      </w:pPr>
    </w:p>
    <w:p w:rsidR="00380147" w:rsidRPr="00F603DF" w:rsidRDefault="00380147" w:rsidP="00380147">
      <w:pPr>
        <w:pStyle w:val="Grillecouleur-Accent1"/>
      </w:pPr>
      <w:r w:rsidRPr="00F603DF">
        <w:t>... les dits Peter McLeod Junior, John Lesueur et Frederick Braün [...] se pourvoiront en toute cour de justice pour faire déclarer nuls tous reçus ou patentes ou autres titres qui pourraient être accordés &amp; pour tous d</w:t>
      </w:r>
      <w:r w:rsidRPr="00F603DF">
        <w:t>é</w:t>
      </w:r>
      <w:r w:rsidRPr="00F603DF">
        <w:t>pens, dommages &amp; intérêts, soufferts &amp; a souffrir par eux les sus dits Sa</w:t>
      </w:r>
      <w:r w:rsidRPr="00F603DF">
        <w:t>u</w:t>
      </w:r>
      <w:r w:rsidRPr="00F603DF">
        <w:t>vages...</w:t>
      </w:r>
    </w:p>
    <w:p w:rsidR="00380147" w:rsidRPr="00F603DF" w:rsidRDefault="00380147" w:rsidP="00380147">
      <w:pPr>
        <w:pStyle w:val="Grillecouleur-Accent1"/>
      </w:pPr>
    </w:p>
    <w:p w:rsidR="00380147" w:rsidRPr="00F603DF" w:rsidRDefault="00380147" w:rsidP="00380147">
      <w:pPr>
        <w:spacing w:before="120" w:after="120"/>
        <w:jc w:val="both"/>
      </w:pPr>
      <w:r w:rsidRPr="00F603DF">
        <w:t>Le Domaine du roi, en 1763, s'est retrouvé en partie enchâssé dans la col</w:t>
      </w:r>
      <w:r w:rsidRPr="00F603DF">
        <w:t>o</w:t>
      </w:r>
      <w:r w:rsidRPr="00F603DF">
        <w:t>nie de Québec. En 1767, James Murray apporte une précision sur la Proclam</w:t>
      </w:r>
      <w:r w:rsidRPr="00F603DF">
        <w:t>a</w:t>
      </w:r>
      <w:r w:rsidRPr="00F603DF">
        <w:t xml:space="preserve">tion royale en déclarant que les terres du Domaine du </w:t>
      </w:r>
      <w:r w:rsidRPr="00F603DF">
        <w:lastRenderedPageBreak/>
        <w:t>roi n’avaient jamais été cédées à ou achetées par le roi de France ou le roi d’Angleterre. Il ajoute que les terrains sur lesquels se trouvaient les postes de traite avaient été cédés au roi de France pour l’érection de ces comptoirs et il précise que les autochtones du Domaine protègent leur territoire contre tout empiétement même de la part des autres groupes. Les droits des Couronnes se limitaient sur le Domaine à la propriété des postes et au droit de faire la traite en vertu du monopole acco</w:t>
      </w:r>
      <w:r w:rsidRPr="00F603DF">
        <w:t>r</w:t>
      </w:r>
      <w:r w:rsidRPr="00F603DF">
        <w:t>dé</w:t>
      </w:r>
      <w:r>
        <w:t> </w:t>
      </w:r>
      <w:r>
        <w:rPr>
          <w:rStyle w:val="Appelnotedebasdep"/>
        </w:rPr>
        <w:footnoteReference w:id="16"/>
      </w:r>
      <w:r w:rsidRPr="00F603DF">
        <w:t>. Comment alors expliquer la vente de terres aux colons dans l’ancien Domaine du roi, sans avoir auparavant obtenu les terres des autochtones par cession ou achat? Les besoins criants d’ouvrir de nouvelles terres à la colon</w:t>
      </w:r>
      <w:r w:rsidRPr="00F603DF">
        <w:t>i</w:t>
      </w:r>
      <w:r w:rsidRPr="00F603DF">
        <w:t>sation l’ont emporté, de toute évidence, sur la Proclamation royale énoncée quelque quatre-vingt ans plus tôt. Les Innus envisagent le recours aux trib</w:t>
      </w:r>
      <w:r w:rsidRPr="00F603DF">
        <w:t>u</w:t>
      </w:r>
      <w:r w:rsidRPr="00F603DF">
        <w:t>naux pour faire annuler les concessions faites sur leur territoire. Le fait est n</w:t>
      </w:r>
      <w:r w:rsidRPr="00F603DF">
        <w:t>o</w:t>
      </w:r>
      <w:r w:rsidRPr="00F603DF">
        <w:t>table de la part d'un groupe autochtone en ce milieu du XIX</w:t>
      </w:r>
      <w:r w:rsidRPr="00E26005">
        <w:rPr>
          <w:vertAlign w:val="superscript"/>
        </w:rPr>
        <w:t>e</w:t>
      </w:r>
      <w:r w:rsidRPr="00F603DF">
        <w:t xml:space="preserve"> siècle</w:t>
      </w:r>
      <w:r>
        <w:t> </w:t>
      </w:r>
      <w:r>
        <w:rPr>
          <w:rStyle w:val="Appelnotedebasdep"/>
        </w:rPr>
        <w:footnoteReference w:id="17"/>
      </w:r>
      <w:r w:rsidRPr="00F603DF">
        <w:t>.</w:t>
      </w:r>
    </w:p>
    <w:p w:rsidR="00380147" w:rsidRPr="00F603DF" w:rsidRDefault="00380147" w:rsidP="00380147">
      <w:pPr>
        <w:spacing w:before="120" w:after="120"/>
        <w:jc w:val="both"/>
      </w:pPr>
      <w:r w:rsidRPr="00F603DF">
        <w:t>Malgré son caractère original et novateur, la requête des Innus de 1851 ne constitue pas un fait isolé. Les précédentes requêtes des Innus tant du Sagu</w:t>
      </w:r>
      <w:r w:rsidRPr="00F603DF">
        <w:t>e</w:t>
      </w:r>
      <w:r w:rsidRPr="00F603DF">
        <w:t>nay—Lac-Saint-Jean que de la Côte-Nord exprimaient le souhait de recevoir un dédommagement pour la perte de leurs terres. En 1845, Denis-Benjamin Papineau, commissaire des terres de la Couronne, dans le rapport de son voyage au Saguenay, abonde dans le même sens et suggère que les groupes autochtones du Canada-Est r</w:t>
      </w:r>
      <w:r w:rsidRPr="00F603DF">
        <w:t>e</w:t>
      </w:r>
      <w:r w:rsidRPr="00F603DF">
        <w:t>çoivent le même traitement que ceux du Canada-Ouest et qu'ils soient indemnisés pour la perte de leurs terres. Il va jusqu'à proposer qu'un canton entier soit réservé pour chacun de ces groupes, bien que cela devrait se faire sous certaines conditions. En 1849, T. Bouthillier, a</w:t>
      </w:r>
      <w:r w:rsidRPr="00F603DF">
        <w:t>d</w:t>
      </w:r>
      <w:r w:rsidRPr="00F603DF">
        <w:t>joint au commissaire des Terres de la Couronne, dans son rapport concernant les requêtes des Montagnais, fit la même recommandation que Papineau au sujet des autochtones du Canada-Est</w:t>
      </w:r>
      <w:r>
        <w:t> </w:t>
      </w:r>
      <w:r>
        <w:rPr>
          <w:rStyle w:val="Appelnotedebasdep"/>
        </w:rPr>
        <w:footnoteReference w:id="18"/>
      </w:r>
      <w:r w:rsidRPr="00F603DF">
        <w:t>. Le député du Saguenay, Marc-Pascal de S</w:t>
      </w:r>
      <w:r w:rsidRPr="00F603DF">
        <w:t>a</w:t>
      </w:r>
      <w:r w:rsidRPr="00F603DF">
        <w:t xml:space="preserve">les Laterrière, se porta pareillement à la défense des intérêts des Montagnais (Hélène Bédard 1988 : 40). En </w:t>
      </w:r>
      <w:r w:rsidRPr="00F603DF">
        <w:lastRenderedPageBreak/>
        <w:t>1837, un comité du conseil exécutif avait r</w:t>
      </w:r>
      <w:r w:rsidRPr="00F603DF">
        <w:t>e</w:t>
      </w:r>
      <w:r w:rsidRPr="00F603DF">
        <w:t>connu que les octrois de terre consentis au Bas-Canada allaient à l’encontre des dispositions de la Proclamation royale</w:t>
      </w:r>
      <w:r>
        <w:t> </w:t>
      </w:r>
      <w:r>
        <w:rPr>
          <w:rStyle w:val="Appelnotedebasdep"/>
        </w:rPr>
        <w:footnoteReference w:id="19"/>
      </w:r>
      <w:r w:rsidRPr="00F603DF">
        <w:t>.</w:t>
      </w:r>
    </w:p>
    <w:p w:rsidR="00380147" w:rsidRPr="00F603DF" w:rsidRDefault="00380147" w:rsidP="00380147">
      <w:pPr>
        <w:spacing w:before="120" w:after="120"/>
        <w:jc w:val="both"/>
      </w:pPr>
      <w:r w:rsidRPr="00F603DF">
        <w:t>Il faut considérer les Innus comme étant encore relativement ind</w:t>
      </w:r>
      <w:r w:rsidRPr="00F603DF">
        <w:t>é</w:t>
      </w:r>
      <w:r w:rsidRPr="00F603DF">
        <w:t>pendants lorsque la région du Saguenay–Lac-Saint-Jean s'ouvre à la colonisation, ma</w:t>
      </w:r>
      <w:r w:rsidRPr="00F603DF">
        <w:t>l</w:t>
      </w:r>
      <w:r w:rsidRPr="00F603DF">
        <w:t>gré que leur territoire avait été inséré à l'intérieur de frontières qui, de toute façon, leur ont été imposées. Les lois relatives à la chasse et à la pêche ne les visaient pas, hormis qu’il leur était i</w:t>
      </w:r>
      <w:r w:rsidRPr="00F603DF">
        <w:t>n</w:t>
      </w:r>
      <w:r w:rsidRPr="00F603DF">
        <w:t>terdit de vendre leurs produits récoltés à des blancs</w:t>
      </w:r>
      <w:r>
        <w:t> </w:t>
      </w:r>
      <w:r>
        <w:rPr>
          <w:rStyle w:val="Appelnotedebasdep"/>
        </w:rPr>
        <w:footnoteReference w:id="20"/>
      </w:r>
      <w:r w:rsidRPr="00F603DF">
        <w:t>. Mais, le XIX</w:t>
      </w:r>
      <w:r w:rsidRPr="00E26005">
        <w:rPr>
          <w:vertAlign w:val="superscript"/>
        </w:rPr>
        <w:t>e</w:t>
      </w:r>
      <w:r w:rsidRPr="00F603DF">
        <w:t xml:space="preserve"> siècle ne reconnaissait plus la personnalité intern</w:t>
      </w:r>
      <w:r w:rsidRPr="00F603DF">
        <w:t>a</w:t>
      </w:r>
      <w:r w:rsidRPr="00F603DF">
        <w:t>tionale des peuples autochtones, à l'inverse des siècles précédents qui attribuaient la sou</w:t>
      </w:r>
      <w:r w:rsidRPr="00F603DF">
        <w:t>r</w:t>
      </w:r>
      <w:r w:rsidRPr="00F603DF">
        <w:t>ce de leurs droits territoriaux dans leur statut de peuples ind</w:t>
      </w:r>
      <w:r w:rsidRPr="00F603DF">
        <w:t>é</w:t>
      </w:r>
      <w:r w:rsidRPr="00F603DF">
        <w:t>pendants.</w:t>
      </w:r>
      <w:r w:rsidRPr="00F603DF">
        <w:rPr>
          <w:b/>
        </w:rPr>
        <w:t xml:space="preserve"> </w:t>
      </w:r>
      <w:r w:rsidRPr="00F603DF">
        <w:t>À l'instar des autres groupes, les Innus finirent par être intégrés dans l'état canadien, mais sans leur consentement</w:t>
      </w:r>
      <w:r>
        <w:t> </w:t>
      </w:r>
      <w:r>
        <w:rPr>
          <w:rStyle w:val="Appelnotedebasdep"/>
        </w:rPr>
        <w:footnoteReference w:id="21"/>
      </w:r>
      <w:r w:rsidRPr="00F603DF">
        <w:t>. C'est ce qui transp</w:t>
      </w:r>
      <w:r w:rsidRPr="00F603DF">
        <w:t>a</w:t>
      </w:r>
      <w:r w:rsidRPr="00F603DF">
        <w:t>raît à la le</w:t>
      </w:r>
      <w:r w:rsidRPr="00F603DF">
        <w:t>c</w:t>
      </w:r>
      <w:r w:rsidRPr="00F603DF">
        <w:t xml:space="preserve">ture du protêt. </w:t>
      </w:r>
    </w:p>
    <w:p w:rsidR="00380147" w:rsidRPr="00F603DF" w:rsidRDefault="00380147" w:rsidP="00380147">
      <w:pPr>
        <w:spacing w:before="120" w:after="120"/>
        <w:jc w:val="both"/>
      </w:pPr>
      <w:r w:rsidRPr="00F603DF">
        <w:t>Les Innus, par l’intermédiaire de leurs procureurs, McLeod, L</w:t>
      </w:r>
      <w:r w:rsidRPr="00F603DF">
        <w:t>e</w:t>
      </w:r>
      <w:r w:rsidRPr="00F603DF">
        <w:t>sueur et Braun, ont-ils donné suite au protêt et engagé des poursuites</w:t>
      </w:r>
      <w:r>
        <w:t> </w:t>
      </w:r>
      <w:r w:rsidRPr="00F603DF">
        <w:t>? Nous n'avons relevé, dans les archives judiciaires de la Cour de circuit de Chicoutimi, ét</w:t>
      </w:r>
      <w:r w:rsidRPr="00F603DF">
        <w:t>a</w:t>
      </w:r>
      <w:r w:rsidRPr="00F603DF">
        <w:t>blie en 1849, aucune cause impliquant l'ensemble ou même l'un ou l'autre des procureurs</w:t>
      </w:r>
      <w:r>
        <w:t> </w:t>
      </w:r>
      <w:r>
        <w:rPr>
          <w:rStyle w:val="Appelnotedebasdep"/>
        </w:rPr>
        <w:footnoteReference w:id="22"/>
      </w:r>
      <w:r w:rsidRPr="00F603DF">
        <w:t>. Entre les trois, il ne fait pas de doute que McLeod s'avérait le défenseur le plus acharné dans la défense des droits de ses congénères. Sa mort, survenue en septembre 1852, a peut-être retiré aux Innus un soutien pr</w:t>
      </w:r>
      <w:r w:rsidRPr="00F603DF">
        <w:t>é</w:t>
      </w:r>
      <w:r w:rsidRPr="00F603DF">
        <w:t>cieux. Cependant, il faut rappeler que les Innus gardent certains appuis sur le plan polit</w:t>
      </w:r>
      <w:r w:rsidRPr="00F603DF">
        <w:t>i</w:t>
      </w:r>
      <w:r w:rsidRPr="00F603DF">
        <w:t>que, les Papineau, Bouthillier et Laterrière étant les plus connus.</w:t>
      </w:r>
    </w:p>
    <w:p w:rsidR="00380147" w:rsidRPr="00F603DF" w:rsidRDefault="00380147" w:rsidP="00380147">
      <w:pPr>
        <w:spacing w:before="120" w:after="120"/>
        <w:jc w:val="both"/>
      </w:pPr>
      <w:r w:rsidRPr="00F603DF">
        <w:br w:type="page"/>
      </w:r>
    </w:p>
    <w:p w:rsidR="00380147" w:rsidRPr="00F603DF" w:rsidRDefault="00380147" w:rsidP="00380147">
      <w:pPr>
        <w:pStyle w:val="planche"/>
      </w:pPr>
      <w:bookmarkStart w:id="7" w:name="protet_1851_conclusion"/>
      <w:r w:rsidRPr="00F603DF">
        <w:t>Conclusion</w:t>
      </w:r>
    </w:p>
    <w:bookmarkEnd w:id="7"/>
    <w:p w:rsidR="00380147" w:rsidRPr="00F603DF" w:rsidRDefault="00380147" w:rsidP="00380147">
      <w:pPr>
        <w:spacing w:before="120" w:after="120"/>
        <w:jc w:val="both"/>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Il faut considérer les Innus comme étant relativement indépendants lorsque la région du Saguenay–Lac-Saint-Jean s'ouvre à la colonis</w:t>
      </w:r>
      <w:r w:rsidRPr="00F603DF">
        <w:t>a</w:t>
      </w:r>
      <w:r w:rsidRPr="00F603DF">
        <w:t>tion pour l'agr</w:t>
      </w:r>
      <w:r w:rsidRPr="00F603DF">
        <w:t>i</w:t>
      </w:r>
      <w:r w:rsidRPr="00F603DF">
        <w:t>culture et la coupe forestière, malgré que leur territoire ait été inséré à l'int</w:t>
      </w:r>
      <w:r w:rsidRPr="00F603DF">
        <w:t>é</w:t>
      </w:r>
      <w:r w:rsidRPr="00F603DF">
        <w:t>rieur de frontières qui, de toute façon, leur sont imposées. Les lois relatives à la chasse et à la pêche ne les visaient pas, hormis qu’il leur était interdit de vendre leurs produits récoltés à des blancs</w:t>
      </w:r>
      <w:r>
        <w:t> </w:t>
      </w:r>
      <w:r>
        <w:rPr>
          <w:rStyle w:val="Appelnotedebasdep"/>
        </w:rPr>
        <w:footnoteReference w:id="23"/>
      </w:r>
      <w:r w:rsidRPr="00F603DF">
        <w:t>. Le changement de perspective qui s'opérait au XIX</w:t>
      </w:r>
      <w:r w:rsidRPr="00E26005">
        <w:rPr>
          <w:vertAlign w:val="superscript"/>
        </w:rPr>
        <w:t>e</w:t>
      </w:r>
      <w:r w:rsidRPr="00F603DF">
        <w:t xml:space="preserve"> si</w:t>
      </w:r>
      <w:r w:rsidRPr="00F603DF">
        <w:t>è</w:t>
      </w:r>
      <w:r w:rsidRPr="00F603DF">
        <w:t>cle relativement aux droits des autochtones de l'Am</w:t>
      </w:r>
      <w:r w:rsidRPr="00F603DF">
        <w:t>é</w:t>
      </w:r>
      <w:r w:rsidRPr="00F603DF">
        <w:t>rique du Nord s'opposait avec celle de la période précédente, qui reconnaissait la personnalité internationale des peuples autochtones et qui attribuait la sou</w:t>
      </w:r>
      <w:r w:rsidRPr="00F603DF">
        <w:t>r</w:t>
      </w:r>
      <w:r w:rsidRPr="00F603DF">
        <w:t>ce de leurs droits territoriaux dans un statut d'indépendance qui est reconnu par les Couronnes. Sous ce rapport, il serait assez juste d'affirmer que ju</w:t>
      </w:r>
      <w:r w:rsidRPr="00F603DF">
        <w:t>s</w:t>
      </w:r>
      <w:r w:rsidRPr="00F603DF">
        <w:t>qu'en 1840, les Innus et la Couronne avaient sur le plan politique et diplomatique, des rapports de souverains à souv</w:t>
      </w:r>
      <w:r w:rsidRPr="00F603DF">
        <w:t>e</w:t>
      </w:r>
      <w:r w:rsidRPr="00F603DF">
        <w:t>rains, de nation autochtone à nation impériale. Avec la création du Canada-Uni et de la Confédération, la nature des rapports se modifie profondément. En se créant comme nation, le Canada usurpe la souv</w:t>
      </w:r>
      <w:r w:rsidRPr="00F603DF">
        <w:t>e</w:t>
      </w:r>
      <w:r w:rsidRPr="00F603DF">
        <w:t>raineté autochtone. Les autochtones dans leur opposition, viendront sans cesse rappeler à la Couronne, qu'il la considère comme son p</w:t>
      </w:r>
      <w:r w:rsidRPr="00F603DF">
        <w:t>è</w:t>
      </w:r>
      <w:r w:rsidRPr="00F603DF">
        <w:t xml:space="preserve">re. Cependant, cet enfant ne se perçoit pas comme un sujet du roi. </w:t>
      </w:r>
    </w:p>
    <w:p w:rsidR="00380147" w:rsidRPr="00F603DF" w:rsidRDefault="00380147" w:rsidP="00380147">
      <w:pPr>
        <w:spacing w:before="120" w:after="120"/>
        <w:jc w:val="both"/>
      </w:pPr>
      <w:r w:rsidRPr="00F603DF">
        <w:t>L’ouverture du Domaine du roi au peuplement et à la propriété privée vers 1840 incite les Innus à affirmer officiellement leurs droits sur leurs terres. Ce territoire, ils avaient accepté de le partager avec la Couronne depuis le début de la colonisation en 1603 autour du co</w:t>
      </w:r>
      <w:r w:rsidRPr="00F603DF">
        <w:t>m</w:t>
      </w:r>
      <w:r w:rsidRPr="00F603DF">
        <w:t>merce des fourrures. Par conséquent, ce que ce document affirme, s</w:t>
      </w:r>
      <w:r w:rsidRPr="00F603DF">
        <w:t>e</w:t>
      </w:r>
      <w:r w:rsidRPr="00F603DF">
        <w:t>lon nous, c'est que la colonisation de la région du Saguenay–Lac-Saint-Jean était légitime, certes, mais elle crée une incertitude chron</w:t>
      </w:r>
      <w:r w:rsidRPr="00F603DF">
        <w:t>i</w:t>
      </w:r>
      <w:r w:rsidRPr="00F603DF">
        <w:t>que sur les devoirs et les responsabilités de la Couronne à l'égard des Indiens du Domaine. La Constitution de 1982 et les nombreux jug</w:t>
      </w:r>
      <w:r w:rsidRPr="00F603DF">
        <w:t>e</w:t>
      </w:r>
      <w:r w:rsidRPr="00F603DF">
        <w:t>ments qui ont porté sur la question autochtone ajoutent à cette incert</w:t>
      </w:r>
      <w:r w:rsidRPr="00F603DF">
        <w:t>i</w:t>
      </w:r>
      <w:r w:rsidRPr="00F603DF">
        <w:t>tude. L'occup</w:t>
      </w:r>
      <w:r w:rsidRPr="00F603DF">
        <w:t>a</w:t>
      </w:r>
      <w:r w:rsidRPr="00F603DF">
        <w:t xml:space="preserve">tion de la région pour légitime qu'elle était à </w:t>
      </w:r>
      <w:r w:rsidRPr="00F603DF">
        <w:lastRenderedPageBreak/>
        <w:t>l'époque, s'est-elle faite en toute légalité</w:t>
      </w:r>
      <w:r>
        <w:t> </w:t>
      </w:r>
      <w:r w:rsidRPr="00F603DF">
        <w:t>? D'un point de vue autochtone, la r</w:t>
      </w:r>
      <w:r w:rsidRPr="00F603DF">
        <w:t>é</w:t>
      </w:r>
      <w:r w:rsidRPr="00F603DF">
        <w:t>ponse est claire. Selon le protêt, toute vente de terres sans consent</w:t>
      </w:r>
      <w:r w:rsidRPr="00F603DF">
        <w:t>e</w:t>
      </w:r>
      <w:r w:rsidRPr="00F603DF">
        <w:t>ment préalable est illégale pour les Innus. Du point de vue de la Co</w:t>
      </w:r>
      <w:r w:rsidRPr="00F603DF">
        <w:t>u</w:t>
      </w:r>
      <w:r w:rsidRPr="00F603DF">
        <w:t>ronne, cela reste encore à prouver... Il est certain que la Couronne n'a jamais réglé la question des terres des autochtones de la Première n</w:t>
      </w:r>
      <w:r w:rsidRPr="00F603DF">
        <w:t>a</w:t>
      </w:r>
      <w:r w:rsidRPr="00F603DF">
        <w:t>tion innue et que ces derniers estiment toujours avoir des droits inali</w:t>
      </w:r>
      <w:r w:rsidRPr="00F603DF">
        <w:t>é</w:t>
      </w:r>
      <w:r w:rsidRPr="00F603DF">
        <w:t>nables sur leurs terres. Le débat reste ouvert. Il devra sans doute tro</w:t>
      </w:r>
      <w:r w:rsidRPr="00F603DF">
        <w:t>u</w:t>
      </w:r>
      <w:r w:rsidRPr="00F603DF">
        <w:t>ver sa solution sur le plan politique.</w:t>
      </w:r>
    </w:p>
    <w:p w:rsidR="00380147" w:rsidRPr="00F603DF" w:rsidRDefault="00380147" w:rsidP="00380147">
      <w:pPr>
        <w:spacing w:before="120" w:after="120"/>
        <w:jc w:val="both"/>
      </w:pPr>
    </w:p>
    <w:p w:rsidR="00380147" w:rsidRPr="00F603DF" w:rsidRDefault="00380147" w:rsidP="00380147">
      <w:pPr>
        <w:pStyle w:val="planche"/>
      </w:pPr>
      <w:bookmarkStart w:id="8" w:name="protet_1851_biblio"/>
      <w:r w:rsidRPr="00F603DF">
        <w:t>BIBLIOGRAPHIE</w:t>
      </w:r>
    </w:p>
    <w:bookmarkEnd w:id="8"/>
    <w:p w:rsidR="00380147" w:rsidRPr="00F603DF" w:rsidRDefault="00380147" w:rsidP="00380147">
      <w:pPr>
        <w:spacing w:before="120" w:after="120"/>
        <w:jc w:val="both"/>
      </w:pPr>
    </w:p>
    <w:p w:rsidR="00380147" w:rsidRPr="00233506" w:rsidRDefault="00380147" w:rsidP="00380147">
      <w:pPr>
        <w:ind w:right="90" w:firstLine="0"/>
        <w:jc w:val="both"/>
        <w:rPr>
          <w:sz w:val="20"/>
        </w:rPr>
      </w:pPr>
      <w:hyperlink w:anchor="tdm" w:history="1">
        <w:r w:rsidRPr="00233506">
          <w:rPr>
            <w:rStyle w:val="Lienhypertexte"/>
            <w:sz w:val="20"/>
          </w:rPr>
          <w:t>Retour à la table des matières</w:t>
        </w:r>
      </w:hyperlink>
    </w:p>
    <w:p w:rsidR="00380147" w:rsidRPr="00F603DF" w:rsidRDefault="00380147" w:rsidP="00380147">
      <w:pPr>
        <w:spacing w:before="120" w:after="120"/>
        <w:jc w:val="both"/>
      </w:pPr>
      <w:r w:rsidRPr="00F603DF">
        <w:t xml:space="preserve">Bédard, Hélène, 1988. </w:t>
      </w:r>
      <w:r w:rsidRPr="00F603DF">
        <w:rPr>
          <w:i/>
        </w:rPr>
        <w:t>Les Montagnais et la réserve de Betsiam</w:t>
      </w:r>
      <w:r w:rsidRPr="00F603DF">
        <w:rPr>
          <w:i/>
        </w:rPr>
        <w:t>i</w:t>
      </w:r>
      <w:r w:rsidRPr="00F603DF">
        <w:rPr>
          <w:i/>
        </w:rPr>
        <w:t>tes</w:t>
      </w:r>
      <w:r w:rsidRPr="00F603DF">
        <w:t>, Qu</w:t>
      </w:r>
      <w:r w:rsidRPr="00F603DF">
        <w:t>é</w:t>
      </w:r>
      <w:r w:rsidRPr="00F603DF">
        <w:t xml:space="preserve">bec, PUL-IQRC. </w:t>
      </w:r>
    </w:p>
    <w:p w:rsidR="00380147" w:rsidRPr="00F603DF" w:rsidRDefault="00380147" w:rsidP="00380147">
      <w:pPr>
        <w:spacing w:before="120" w:after="120"/>
        <w:jc w:val="both"/>
      </w:pPr>
      <w:r w:rsidRPr="00F603DF">
        <w:t xml:space="preserve">Bélanger, </w:t>
      </w:r>
      <w:r>
        <w:t>Léonidas, 1968. “</w:t>
      </w:r>
      <w:r w:rsidRPr="00F603DF">
        <w:t xml:space="preserve">Les notaires du Saguenay. Le notaire Ovide Bossé (1828-1909”, </w:t>
      </w:r>
      <w:r w:rsidRPr="00F603DF">
        <w:rPr>
          <w:i/>
        </w:rPr>
        <w:t>Saguenayensia</w:t>
      </w:r>
      <w:r w:rsidRPr="00F603DF">
        <w:t>, vol.</w:t>
      </w:r>
      <w:r>
        <w:t> </w:t>
      </w:r>
      <w:r w:rsidRPr="00F603DF">
        <w:t>10, no</w:t>
      </w:r>
      <w:r>
        <w:t> </w:t>
      </w:r>
      <w:r w:rsidRPr="00F603DF">
        <w:t>1, p. 17-19.</w:t>
      </w:r>
    </w:p>
    <w:p w:rsidR="00380147" w:rsidRPr="00F603DF" w:rsidRDefault="00380147" w:rsidP="00380147">
      <w:pPr>
        <w:spacing w:before="120" w:after="120"/>
        <w:jc w:val="both"/>
      </w:pPr>
      <w:r w:rsidRPr="00F603DF">
        <w:t xml:space="preserve">Cleary, Bernard, 1989. </w:t>
      </w:r>
      <w:r w:rsidRPr="00F603DF">
        <w:rPr>
          <w:i/>
        </w:rPr>
        <w:t>L'enfant de 7000 ans. Le long portage vers la dél</w:t>
      </w:r>
      <w:r w:rsidRPr="00F603DF">
        <w:rPr>
          <w:i/>
        </w:rPr>
        <w:t>i</w:t>
      </w:r>
      <w:r w:rsidRPr="00F603DF">
        <w:rPr>
          <w:i/>
        </w:rPr>
        <w:t>vrance</w:t>
      </w:r>
      <w:r w:rsidRPr="00F603DF">
        <w:t xml:space="preserve">, Québec (Sillery), Septentrion. </w:t>
      </w:r>
    </w:p>
    <w:p w:rsidR="00380147" w:rsidRPr="00F603DF" w:rsidRDefault="00380147" w:rsidP="00380147">
      <w:pPr>
        <w:spacing w:before="120" w:after="120"/>
        <w:jc w:val="both"/>
      </w:pPr>
      <w:r w:rsidRPr="00F603DF">
        <w:t xml:space="preserve">Delâge, Denys et Jean-Pierre Sawaya, 2001. </w:t>
      </w:r>
      <w:r w:rsidRPr="00F603DF">
        <w:rPr>
          <w:i/>
        </w:rPr>
        <w:t>Les traités des Sept-feux avec les Britanniques. Droits et pièges d'un héritage colonial au Québec</w:t>
      </w:r>
      <w:r w:rsidRPr="00F603DF">
        <w:t>, Sillery : Septentrion.</w:t>
      </w:r>
    </w:p>
    <w:p w:rsidR="00380147" w:rsidRPr="00F603DF" w:rsidRDefault="00380147" w:rsidP="00380147">
      <w:pPr>
        <w:spacing w:before="120" w:after="120"/>
        <w:jc w:val="both"/>
      </w:pPr>
      <w:r w:rsidRPr="00F603DF">
        <w:t xml:space="preserve">Dionne, Paul, 1984. </w:t>
      </w:r>
      <w:r w:rsidRPr="00F603DF">
        <w:rPr>
          <w:i/>
        </w:rPr>
        <w:t>Le Titre aborigène des Indiens Attikameks et Mont</w:t>
      </w:r>
      <w:r w:rsidRPr="00F603DF">
        <w:rPr>
          <w:i/>
        </w:rPr>
        <w:t>a</w:t>
      </w:r>
      <w:r w:rsidRPr="00F603DF">
        <w:rPr>
          <w:i/>
        </w:rPr>
        <w:t>gnais du Québec</w:t>
      </w:r>
      <w:r w:rsidRPr="00F603DF">
        <w:t>, Ottawa, Université d'Ottawa, maîtrise sous la direction de Jean-Paul Lacasse.</w:t>
      </w:r>
    </w:p>
    <w:p w:rsidR="00380147" w:rsidRPr="00F603DF" w:rsidRDefault="00380147" w:rsidP="00380147">
      <w:pPr>
        <w:spacing w:before="120" w:after="120"/>
        <w:jc w:val="both"/>
      </w:pPr>
      <w:r w:rsidRPr="00F603DF">
        <w:t xml:space="preserve">Dupuis, Renée, 2001. </w:t>
      </w:r>
      <w:r w:rsidRPr="00F603DF">
        <w:rPr>
          <w:i/>
        </w:rPr>
        <w:t>Quel Canada pour les autochtones. La fin de l’exclusion</w:t>
      </w:r>
      <w:r w:rsidRPr="00F603DF">
        <w:t>, Montréal, Boréal.</w:t>
      </w:r>
    </w:p>
    <w:p w:rsidR="00380147" w:rsidRPr="00F603DF" w:rsidRDefault="00380147" w:rsidP="00380147">
      <w:pPr>
        <w:spacing w:before="120" w:after="120"/>
        <w:jc w:val="both"/>
      </w:pPr>
      <w:r w:rsidRPr="00F603DF">
        <w:t xml:space="preserve">Dupuis, Renée, 1991. </w:t>
      </w:r>
      <w:r w:rsidRPr="00F603DF">
        <w:rPr>
          <w:i/>
        </w:rPr>
        <w:t>La question indienne au Canada</w:t>
      </w:r>
      <w:r w:rsidRPr="00F603DF">
        <w:t>, Montréal, Boréal.</w:t>
      </w:r>
    </w:p>
    <w:p w:rsidR="00380147" w:rsidRPr="00F603DF" w:rsidRDefault="00380147" w:rsidP="00380147">
      <w:pPr>
        <w:spacing w:before="120" w:after="120"/>
        <w:jc w:val="both"/>
      </w:pPr>
      <w:r w:rsidRPr="00F603DF">
        <w:t xml:space="preserve">Dupuis, Renée, 1999. </w:t>
      </w:r>
      <w:r w:rsidRPr="00F603DF">
        <w:rPr>
          <w:i/>
        </w:rPr>
        <w:t>Le Statut juridique des Peuples autochtones en droit canadien</w:t>
      </w:r>
      <w:r w:rsidRPr="00F603DF">
        <w:t>, Toronto, Carswell.</w:t>
      </w:r>
    </w:p>
    <w:p w:rsidR="00380147" w:rsidRPr="00F603DF" w:rsidRDefault="00380147" w:rsidP="00380147">
      <w:pPr>
        <w:spacing w:before="120" w:after="120"/>
        <w:jc w:val="both"/>
      </w:pPr>
      <w:r w:rsidRPr="00F603DF">
        <w:t xml:space="preserve">Gagnon, Gaston, 2000. “McLeod, Peter” dans </w:t>
      </w:r>
      <w:r w:rsidRPr="00F603DF">
        <w:rPr>
          <w:i/>
        </w:rPr>
        <w:t>Dictionnaire bi</w:t>
      </w:r>
      <w:r w:rsidRPr="00F603DF">
        <w:rPr>
          <w:i/>
        </w:rPr>
        <w:t>o</w:t>
      </w:r>
      <w:r w:rsidRPr="00F603DF">
        <w:rPr>
          <w:i/>
        </w:rPr>
        <w:t>graphique du Canada – Dictionary of canadian biography</w:t>
      </w:r>
      <w:r w:rsidRPr="00F603DF">
        <w:t>. Version sur cédérom. Un</w:t>
      </w:r>
      <w:r w:rsidRPr="00F603DF">
        <w:t>i</w:t>
      </w:r>
      <w:r w:rsidRPr="00F603DF">
        <w:t>versité Laval et university of Toronto.</w:t>
      </w:r>
    </w:p>
    <w:p w:rsidR="00380147" w:rsidRPr="00F603DF" w:rsidRDefault="00380147" w:rsidP="00380147">
      <w:pPr>
        <w:spacing w:before="120" w:after="120"/>
        <w:jc w:val="both"/>
      </w:pPr>
      <w:r w:rsidRPr="00F603DF">
        <w:t xml:space="preserve">Gagnon, Gaston, 1988. </w:t>
      </w:r>
      <w:hyperlink r:id="rId20" w:history="1">
        <w:r w:rsidRPr="001E09F8">
          <w:rPr>
            <w:rStyle w:val="Lienhypertexte"/>
            <w:i/>
          </w:rPr>
          <w:t>Un pays neuf. Le Saguenay–Lac-Saint-Jean en évolution</w:t>
        </w:r>
      </w:hyperlink>
      <w:r w:rsidRPr="00F603DF">
        <w:t>, Alma : éditions du Royaume.</w:t>
      </w:r>
    </w:p>
    <w:p w:rsidR="00380147" w:rsidRPr="00F603DF" w:rsidRDefault="00380147" w:rsidP="00380147">
      <w:pPr>
        <w:spacing w:before="120" w:after="120"/>
        <w:jc w:val="both"/>
      </w:pPr>
      <w:r w:rsidRPr="00F603DF">
        <w:t xml:space="preserve">Gérard, Éloi, 1943. </w:t>
      </w:r>
      <w:r w:rsidRPr="00F603DF">
        <w:rPr>
          <w:i/>
        </w:rPr>
        <w:t>Inventaire des contrats de mariages au greffe de Cha</w:t>
      </w:r>
      <w:r w:rsidRPr="00F603DF">
        <w:rPr>
          <w:i/>
        </w:rPr>
        <w:t>r</w:t>
      </w:r>
      <w:r w:rsidRPr="00F603DF">
        <w:rPr>
          <w:i/>
        </w:rPr>
        <w:t>levoix</w:t>
      </w:r>
      <w:r w:rsidRPr="00F603DF">
        <w:t>, La Malbaie, publication de la Société historique du Saguenay no 8.</w:t>
      </w:r>
    </w:p>
    <w:p w:rsidR="00380147" w:rsidRPr="00F603DF" w:rsidRDefault="00380147" w:rsidP="00380147">
      <w:pPr>
        <w:spacing w:before="120" w:after="120"/>
        <w:jc w:val="both"/>
      </w:pPr>
      <w:r w:rsidRPr="00F603DF">
        <w:t xml:space="preserve">Girard, Camil et Normand Perron, 1995. </w:t>
      </w:r>
      <w:r w:rsidRPr="00F603DF">
        <w:rPr>
          <w:i/>
        </w:rPr>
        <w:t>Histoire du Saguenay–Lac-Saint-Jean</w:t>
      </w:r>
      <w:r w:rsidRPr="00F603DF">
        <w:t>, Québec : Institut québécois de recherche sur la cult</w:t>
      </w:r>
      <w:r w:rsidRPr="00F603DF">
        <w:t>u</w:t>
      </w:r>
      <w:r w:rsidRPr="00F603DF">
        <w:t>re.</w:t>
      </w:r>
    </w:p>
    <w:p w:rsidR="00380147" w:rsidRPr="00F603DF" w:rsidRDefault="00380147" w:rsidP="00380147">
      <w:pPr>
        <w:spacing w:before="120" w:after="120"/>
        <w:jc w:val="both"/>
      </w:pPr>
      <w:r w:rsidRPr="00F603DF">
        <w:t>Girard, Camil et Édith Gagné, 1995. “Première alliance intercult</w:t>
      </w:r>
      <w:r w:rsidRPr="00F603DF">
        <w:t>u</w:t>
      </w:r>
      <w:r w:rsidRPr="00F603DF">
        <w:t xml:space="preserve">relle. Rencontre entre Montagnais et Français à Tadoussac en 1603”, </w:t>
      </w:r>
      <w:r w:rsidRPr="00F603DF">
        <w:rPr>
          <w:i/>
        </w:rPr>
        <w:t>Recherches amérindiennes au Québec</w:t>
      </w:r>
      <w:r w:rsidRPr="00F603DF">
        <w:t>, vol.</w:t>
      </w:r>
      <w:r>
        <w:t> </w:t>
      </w:r>
      <w:r w:rsidRPr="00F603DF">
        <w:t>XXV, no</w:t>
      </w:r>
      <w:r>
        <w:t> </w:t>
      </w:r>
      <w:r w:rsidRPr="00F603DF">
        <w:t xml:space="preserve">3, p. 3-14. </w:t>
      </w:r>
    </w:p>
    <w:p w:rsidR="00380147" w:rsidRPr="00F603DF" w:rsidRDefault="00380147" w:rsidP="00380147">
      <w:pPr>
        <w:spacing w:before="120" w:after="120"/>
        <w:jc w:val="both"/>
      </w:pPr>
      <w:r w:rsidRPr="00F603DF">
        <w:t xml:space="preserve">Girard, Camil, 1997. </w:t>
      </w:r>
      <w:hyperlink r:id="rId21" w:history="1">
        <w:r w:rsidRPr="00E26005">
          <w:rPr>
            <w:rStyle w:val="Lienhypertexte"/>
            <w:i/>
          </w:rPr>
          <w:t>Culture et dynamique interculturelle: trois femmes et trois hommes témoignent de leur vie</w:t>
        </w:r>
      </w:hyperlink>
      <w:r w:rsidRPr="00F603DF">
        <w:rPr>
          <w:i/>
        </w:rPr>
        <w:t xml:space="preserve">, </w:t>
      </w:r>
      <w:r w:rsidRPr="00F603DF">
        <w:t>Chicoutimi, Les Éd</w:t>
      </w:r>
      <w:r w:rsidRPr="00F603DF">
        <w:t>i</w:t>
      </w:r>
      <w:r w:rsidRPr="00F603DF">
        <w:t>tions JCL, Collection INTERCULTURE (Rapport déposé à la Co</w:t>
      </w:r>
      <w:r w:rsidRPr="00F603DF">
        <w:t>m</w:t>
      </w:r>
      <w:r w:rsidRPr="00F603DF">
        <w:t>mission royale sur les Pe</w:t>
      </w:r>
      <w:r w:rsidRPr="00F603DF">
        <w:t>u</w:t>
      </w:r>
      <w:r w:rsidRPr="00F603DF">
        <w:t>ples autochtones du Canada)</w:t>
      </w:r>
    </w:p>
    <w:p w:rsidR="00380147" w:rsidRPr="00F603DF" w:rsidRDefault="00380147" w:rsidP="00380147">
      <w:pPr>
        <w:spacing w:before="120" w:after="120"/>
        <w:jc w:val="both"/>
      </w:pPr>
      <w:r w:rsidRPr="00F603DF">
        <w:t>Girard, Camil et Mathieu D'Avignon, 2000, “Champlain et les Montagnais (Ilnus)</w:t>
      </w:r>
      <w:r>
        <w:t> </w:t>
      </w:r>
      <w:r w:rsidRPr="00F603DF">
        <w:t>: alliances, diplomatie et justice. Ingérence et déf</w:t>
      </w:r>
      <w:r w:rsidRPr="00F603DF">
        <w:t>é</w:t>
      </w:r>
      <w:r>
        <w:t>rence. 1600-1635</w:t>
      </w:r>
      <w:r w:rsidRPr="00F603DF">
        <w:t xml:space="preserve">”, dans Actes de colloque, </w:t>
      </w:r>
      <w:r w:rsidRPr="00F603DF">
        <w:rPr>
          <w:i/>
        </w:rPr>
        <w:t>D'Amérique et d'Atlant</w:t>
      </w:r>
      <w:r w:rsidRPr="00F603DF">
        <w:rPr>
          <w:i/>
        </w:rPr>
        <w:t>i</w:t>
      </w:r>
      <w:r w:rsidRPr="00F603DF">
        <w:rPr>
          <w:i/>
        </w:rPr>
        <w:t xml:space="preserve">que,Tadoussac, </w:t>
      </w:r>
      <w:r w:rsidRPr="00F603DF">
        <w:t>Tadoussac, Cégep de Baie-Comeau et les Presses du nord, p. 29-56.</w:t>
      </w:r>
    </w:p>
    <w:p w:rsidR="00380147" w:rsidRPr="00F603DF" w:rsidRDefault="00380147" w:rsidP="00380147">
      <w:pPr>
        <w:spacing w:before="120" w:after="120"/>
        <w:jc w:val="both"/>
      </w:pPr>
      <w:r w:rsidRPr="00F603DF">
        <w:t xml:space="preserve">Havard, Gilles, 1992. </w:t>
      </w:r>
      <w:r w:rsidRPr="00F603DF">
        <w:rPr>
          <w:i/>
        </w:rPr>
        <w:t>La Grande Paix de Montréal, Les voies de la Dipl</w:t>
      </w:r>
      <w:r w:rsidRPr="00F603DF">
        <w:rPr>
          <w:i/>
        </w:rPr>
        <w:t>o</w:t>
      </w:r>
      <w:r w:rsidRPr="00F603DF">
        <w:rPr>
          <w:i/>
        </w:rPr>
        <w:t>matie franco-indienne</w:t>
      </w:r>
      <w:r w:rsidRPr="00F603DF">
        <w:t>, Édition de Recherches amérindiennes au Québec.</w:t>
      </w:r>
    </w:p>
    <w:p w:rsidR="00380147" w:rsidRPr="00F603DF" w:rsidRDefault="00380147" w:rsidP="00380147">
      <w:pPr>
        <w:spacing w:before="120" w:after="120"/>
        <w:jc w:val="both"/>
      </w:pPr>
      <w:r w:rsidRPr="00F603DF">
        <w:t>Kurtness, Rémy, 2000. "Vers une nouvelle génération de traité</w:t>
      </w:r>
      <w:r>
        <w:t> </w:t>
      </w:r>
      <w:r w:rsidRPr="00F603DF">
        <w:t>: les négociations Conseil Mamuitun-Québec-Canada", dans Actes de co</w:t>
      </w:r>
      <w:r w:rsidRPr="00F603DF">
        <w:t>l</w:t>
      </w:r>
      <w:r w:rsidRPr="00F603DF">
        <w:t xml:space="preserve">loque, </w:t>
      </w:r>
      <w:r w:rsidRPr="00F603DF">
        <w:rPr>
          <w:i/>
        </w:rPr>
        <w:t>D'Am</w:t>
      </w:r>
      <w:r w:rsidRPr="00F603DF">
        <w:rPr>
          <w:i/>
        </w:rPr>
        <w:t>é</w:t>
      </w:r>
      <w:r w:rsidRPr="00F603DF">
        <w:rPr>
          <w:i/>
        </w:rPr>
        <w:t>rique et d'Atlantique,</w:t>
      </w:r>
      <w:r>
        <w:rPr>
          <w:i/>
        </w:rPr>
        <w:t xml:space="preserve"> </w:t>
      </w:r>
      <w:r w:rsidRPr="00F603DF">
        <w:rPr>
          <w:i/>
        </w:rPr>
        <w:t xml:space="preserve">Tadoussac, </w:t>
      </w:r>
      <w:r w:rsidRPr="00F603DF">
        <w:t>Tadoussac, Cégep de Baie-Comeau et les Presses du nord,</w:t>
      </w:r>
      <w:r>
        <w:t xml:space="preserve"> </w:t>
      </w:r>
      <w:r w:rsidRPr="00F603DF">
        <w:t xml:space="preserve"> p. 131.</w:t>
      </w:r>
    </w:p>
    <w:p w:rsidR="00380147" w:rsidRPr="00F603DF" w:rsidRDefault="00380147" w:rsidP="00380147">
      <w:pPr>
        <w:spacing w:before="120" w:after="120"/>
        <w:jc w:val="both"/>
      </w:pPr>
      <w:r w:rsidRPr="00F603DF">
        <w:t>Lacasse, Jean-Paul, 1996. “Le territoire dans l'univers innu d'a</w:t>
      </w:r>
      <w:r w:rsidRPr="00F603DF">
        <w:t>u</w:t>
      </w:r>
      <w:r>
        <w:t>jourd'hui</w:t>
      </w:r>
      <w:r w:rsidRPr="00F603DF">
        <w:t xml:space="preserve">”, </w:t>
      </w:r>
      <w:r w:rsidRPr="00F603DF">
        <w:rPr>
          <w:i/>
        </w:rPr>
        <w:t>Cahiers de Géographie du Québec</w:t>
      </w:r>
      <w:r w:rsidRPr="00F603DF">
        <w:t>, vol.</w:t>
      </w:r>
      <w:r>
        <w:t> </w:t>
      </w:r>
      <w:r w:rsidRPr="00F603DF">
        <w:t>40, no</w:t>
      </w:r>
      <w:r>
        <w:t> </w:t>
      </w:r>
      <w:r w:rsidRPr="00F603DF">
        <w:t>110, se</w:t>
      </w:r>
      <w:r w:rsidRPr="00F603DF">
        <w:t>p</w:t>
      </w:r>
      <w:r w:rsidRPr="00F603DF">
        <w:t>tembre, p. 185-204.</w:t>
      </w:r>
    </w:p>
    <w:p w:rsidR="00380147" w:rsidRPr="00F603DF" w:rsidRDefault="00380147" w:rsidP="00380147">
      <w:pPr>
        <w:spacing w:before="120" w:after="120"/>
        <w:jc w:val="both"/>
      </w:pPr>
      <w:r w:rsidRPr="00F603DF">
        <w:t xml:space="preserve">Leighton, J. Douglas, 1975. </w:t>
      </w:r>
      <w:r w:rsidRPr="00F603DF">
        <w:rPr>
          <w:i/>
        </w:rPr>
        <w:t>The development of federal indian p</w:t>
      </w:r>
      <w:r w:rsidRPr="00F603DF">
        <w:rPr>
          <w:i/>
        </w:rPr>
        <w:t>o</w:t>
      </w:r>
      <w:r w:rsidRPr="00F603DF">
        <w:rPr>
          <w:i/>
        </w:rPr>
        <w:t>licy in Canada, 1840-1890</w:t>
      </w:r>
      <w:r w:rsidRPr="00F603DF">
        <w:t>, Ph. D. thesis, London : university of We</w:t>
      </w:r>
      <w:r w:rsidRPr="00F603DF">
        <w:t>s</w:t>
      </w:r>
      <w:r w:rsidRPr="00F603DF">
        <w:t>tern Ontario.</w:t>
      </w:r>
    </w:p>
    <w:p w:rsidR="00380147" w:rsidRPr="00F603DF" w:rsidRDefault="00380147" w:rsidP="00380147">
      <w:pPr>
        <w:spacing w:before="120" w:after="120"/>
        <w:jc w:val="both"/>
      </w:pPr>
      <w:r w:rsidRPr="00F603DF">
        <w:t xml:space="preserve">Mailhot, José, 1996. “La marginalisation des Montagnais” dans Pierre Frenette, dir., </w:t>
      </w:r>
      <w:r w:rsidRPr="00F603DF">
        <w:rPr>
          <w:i/>
        </w:rPr>
        <w:t>Histoire de la Côte-Nord</w:t>
      </w:r>
      <w:r w:rsidRPr="00F603DF">
        <w:t>, Sainte-Foy, Institut québécois de r</w:t>
      </w:r>
      <w:r w:rsidRPr="00F603DF">
        <w:t>e</w:t>
      </w:r>
      <w:r w:rsidRPr="00F603DF">
        <w:t>cherche sur la culture &amp; Presses de l’université Laval, p. 321-357.</w:t>
      </w:r>
    </w:p>
    <w:p w:rsidR="00380147" w:rsidRPr="00F603DF" w:rsidRDefault="00380147" w:rsidP="00380147">
      <w:pPr>
        <w:spacing w:before="120" w:after="120"/>
        <w:jc w:val="both"/>
      </w:pPr>
      <w:r w:rsidRPr="00F603DF">
        <w:t xml:space="preserve">Mailhot, José et Sylvie Vincent, 1979. </w:t>
      </w:r>
      <w:r w:rsidRPr="00F603DF">
        <w:rPr>
          <w:i/>
        </w:rPr>
        <w:t>La situation des Montagnais du S</w:t>
      </w:r>
      <w:r w:rsidRPr="00F603DF">
        <w:rPr>
          <w:i/>
        </w:rPr>
        <w:t>a</w:t>
      </w:r>
      <w:r w:rsidRPr="00F603DF">
        <w:rPr>
          <w:i/>
        </w:rPr>
        <w:t>guenay-Lac-St-Jean et de la Haute Côte-Nord au milieu du XIXe siècle</w:t>
      </w:r>
      <w:r w:rsidRPr="00F603DF">
        <w:t>, ra</w:t>
      </w:r>
      <w:r w:rsidRPr="00F603DF">
        <w:t>p</w:t>
      </w:r>
      <w:r w:rsidRPr="00F603DF">
        <w:t xml:space="preserve">port remis au Conseil Attikamek-Montagnais. </w:t>
      </w:r>
    </w:p>
    <w:p w:rsidR="00380147" w:rsidRPr="00F603DF" w:rsidRDefault="00380147" w:rsidP="00380147">
      <w:pPr>
        <w:spacing w:before="120" w:after="120"/>
        <w:jc w:val="both"/>
      </w:pPr>
      <w:r w:rsidRPr="00F603DF">
        <w:t xml:space="preserve">Morin, Jacques-Yvan et José Woehrling, 1994. </w:t>
      </w:r>
      <w:r w:rsidRPr="00F603DF">
        <w:rPr>
          <w:i/>
        </w:rPr>
        <w:t>Les constitutions du Can</w:t>
      </w:r>
      <w:r w:rsidRPr="00F603DF">
        <w:rPr>
          <w:i/>
        </w:rPr>
        <w:t>a</w:t>
      </w:r>
      <w:r w:rsidRPr="00F603DF">
        <w:rPr>
          <w:i/>
        </w:rPr>
        <w:t>da et du Québec du régime français à nos jours</w:t>
      </w:r>
      <w:r w:rsidRPr="00F603DF">
        <w:t>. Tome deuxième, Recueil de documents, Montréal, Thémis.</w:t>
      </w:r>
    </w:p>
    <w:p w:rsidR="00380147" w:rsidRPr="00F603DF" w:rsidRDefault="00380147" w:rsidP="00380147">
      <w:pPr>
        <w:spacing w:before="120" w:after="120"/>
        <w:jc w:val="both"/>
      </w:pPr>
      <w:r w:rsidRPr="00F603DF">
        <w:t xml:space="preserve">Morin, Michel, 1997. </w:t>
      </w:r>
      <w:r w:rsidRPr="00F603DF">
        <w:rPr>
          <w:i/>
        </w:rPr>
        <w:t>L'usurpation de la souveraineté autochtone. Le cas des peuples de la Nouvelle-France et des colonies anglaises de l'Amérique du Nord</w:t>
      </w:r>
      <w:r w:rsidRPr="00F603DF">
        <w:t>, Montréal</w:t>
      </w:r>
      <w:r>
        <w:t> </w:t>
      </w:r>
      <w:r w:rsidRPr="00F603DF">
        <w:t>: Boréal.</w:t>
      </w:r>
    </w:p>
    <w:p w:rsidR="00380147" w:rsidRPr="00F603DF" w:rsidRDefault="00380147" w:rsidP="00380147">
      <w:pPr>
        <w:spacing w:before="120" w:after="120"/>
        <w:jc w:val="both"/>
      </w:pPr>
      <w:r w:rsidRPr="00F603DF">
        <w:t xml:space="preserve">Morin, René, 1994. “Le droit des peuples autochtones au Canada: un droit </w:t>
      </w:r>
      <w:r w:rsidRPr="00F603DF">
        <w:rPr>
          <w:i/>
        </w:rPr>
        <w:t>sui generis</w:t>
      </w:r>
      <w:r w:rsidRPr="00F603DF">
        <w:t xml:space="preserve"> situé au carrefour du droit constitutionnel et a</w:t>
      </w:r>
      <w:r w:rsidRPr="00F603DF">
        <w:t>d</w:t>
      </w:r>
      <w:r>
        <w:t>ministratif</w:t>
      </w:r>
      <w:r w:rsidRPr="00F603DF">
        <w:t>” , She</w:t>
      </w:r>
      <w:r w:rsidRPr="00F603DF">
        <w:t>r</w:t>
      </w:r>
      <w:r w:rsidRPr="00F603DF">
        <w:t>brooke, Congrès du Barreau, 10 et 11 juin.</w:t>
      </w:r>
    </w:p>
    <w:p w:rsidR="00380147" w:rsidRPr="00F603DF" w:rsidRDefault="00380147" w:rsidP="00380147">
      <w:pPr>
        <w:spacing w:before="120" w:after="120"/>
        <w:jc w:val="both"/>
      </w:pPr>
      <w:r w:rsidRPr="00F603DF">
        <w:t xml:space="preserve">Noppen, Luc et Lucie K. Morisset, 1998. </w:t>
      </w:r>
      <w:r w:rsidRPr="00F603DF">
        <w:rPr>
          <w:i/>
        </w:rPr>
        <w:t>Ville de La Baie, un hér</w:t>
      </w:r>
      <w:r w:rsidRPr="00F603DF">
        <w:rPr>
          <w:i/>
        </w:rPr>
        <w:t>i</w:t>
      </w:r>
      <w:r w:rsidRPr="00F603DF">
        <w:rPr>
          <w:i/>
        </w:rPr>
        <w:t>tage e</w:t>
      </w:r>
      <w:r w:rsidRPr="00F603DF">
        <w:rPr>
          <w:i/>
        </w:rPr>
        <w:t>n</w:t>
      </w:r>
      <w:r w:rsidRPr="00F603DF">
        <w:rPr>
          <w:i/>
        </w:rPr>
        <w:t>tre nature et culture. Guide d'excursion et d'interprétation du patrimoine</w:t>
      </w:r>
      <w:r w:rsidRPr="00F603DF">
        <w:t>, La Baie</w:t>
      </w:r>
      <w:r>
        <w:t> </w:t>
      </w:r>
      <w:r w:rsidRPr="00F603DF">
        <w:t>: Ville de La Baie.</w:t>
      </w:r>
    </w:p>
    <w:p w:rsidR="00380147" w:rsidRPr="00F603DF" w:rsidRDefault="00380147" w:rsidP="00380147">
      <w:pPr>
        <w:spacing w:before="120" w:after="120"/>
        <w:jc w:val="both"/>
      </w:pPr>
      <w:r w:rsidRPr="00F603DF">
        <w:t xml:space="preserve">Pilote, François, 1999. </w:t>
      </w:r>
      <w:r w:rsidRPr="00F603DF">
        <w:rPr>
          <w:i/>
        </w:rPr>
        <w:t>Le Saguenay en 1851</w:t>
      </w:r>
      <w:r w:rsidRPr="00F603DF">
        <w:t>, texte présenté par Roland B</w:t>
      </w:r>
      <w:r w:rsidRPr="00F603DF">
        <w:t>é</w:t>
      </w:r>
      <w:r w:rsidRPr="00F603DF">
        <w:t>langer, Montréal : Méridien.</w:t>
      </w:r>
    </w:p>
    <w:p w:rsidR="00380147" w:rsidRPr="00F603DF" w:rsidRDefault="00380147" w:rsidP="00380147">
      <w:pPr>
        <w:spacing w:before="120" w:after="120"/>
        <w:jc w:val="both"/>
      </w:pPr>
      <w:r w:rsidRPr="00F603DF">
        <w:t xml:space="preserve">Reid, Hubert, 2001. </w:t>
      </w:r>
      <w:r w:rsidRPr="00F603DF">
        <w:rPr>
          <w:i/>
        </w:rPr>
        <w:t>Dictionnaire de droit québécois et canadien</w:t>
      </w:r>
      <w:r w:rsidRPr="00F603DF">
        <w:t>, 2e éd</w:t>
      </w:r>
      <w:r w:rsidRPr="00F603DF">
        <w:t>i</w:t>
      </w:r>
      <w:r w:rsidRPr="00F603DF">
        <w:t>tion, Montréal</w:t>
      </w:r>
      <w:r>
        <w:t> </w:t>
      </w:r>
      <w:r w:rsidRPr="00F603DF">
        <w:t>: Wilson &amp; Lafleur.</w:t>
      </w:r>
    </w:p>
    <w:p w:rsidR="00380147" w:rsidRPr="00F603DF" w:rsidRDefault="00380147" w:rsidP="00380147">
      <w:pPr>
        <w:spacing w:before="120" w:after="120"/>
        <w:jc w:val="both"/>
      </w:pPr>
      <w:r w:rsidRPr="00F603DF">
        <w:t xml:space="preserve">Roy, Pierre-Georges, 1936. </w:t>
      </w:r>
      <w:r w:rsidRPr="00F603DF">
        <w:rPr>
          <w:i/>
        </w:rPr>
        <w:t>Les avocats de la région de Québec</w:t>
      </w:r>
      <w:r w:rsidRPr="00F603DF">
        <w:t>, Lévis</w:t>
      </w:r>
      <w:r>
        <w:t> </w:t>
      </w:r>
      <w:r w:rsidRPr="00F603DF">
        <w:t xml:space="preserve">: Le Quotidien. </w:t>
      </w:r>
    </w:p>
    <w:p w:rsidR="00380147" w:rsidRPr="00F603DF" w:rsidRDefault="00380147" w:rsidP="00380147">
      <w:pPr>
        <w:spacing w:before="120" w:after="120"/>
        <w:jc w:val="both"/>
      </w:pPr>
      <w:r w:rsidRPr="00F603DF">
        <w:t>Schulze, David, 1998, “L'application de la Proclamation royale de 1763 dans les frontières originales de la Province de Québec : la déc</w:t>
      </w:r>
      <w:r w:rsidRPr="00F603DF">
        <w:t>i</w:t>
      </w:r>
      <w:r w:rsidRPr="00F603DF">
        <w:t>sion du Conseil privé</w:t>
      </w:r>
      <w:r>
        <w:t xml:space="preserve"> dans l'affaire Allsopp</w:t>
      </w:r>
      <w:r w:rsidRPr="00F603DF">
        <w:t xml:space="preserve">”, Revue </w:t>
      </w:r>
      <w:r w:rsidRPr="00F603DF">
        <w:rPr>
          <w:i/>
        </w:rPr>
        <w:t>Thémis</w:t>
      </w:r>
      <w:r w:rsidRPr="00F603DF">
        <w:t>, Univers</w:t>
      </w:r>
      <w:r w:rsidRPr="00F603DF">
        <w:t>i</w:t>
      </w:r>
      <w:r w:rsidRPr="00F603DF">
        <w:t>té de Montréal.</w:t>
      </w:r>
    </w:p>
    <w:p w:rsidR="00380147" w:rsidRPr="00F603DF" w:rsidRDefault="00380147" w:rsidP="00380147">
      <w:pPr>
        <w:spacing w:before="120" w:after="120"/>
        <w:jc w:val="both"/>
      </w:pPr>
      <w:r w:rsidRPr="00F603DF">
        <w:t xml:space="preserve">St-Hilaire, Marc, 1989. </w:t>
      </w:r>
      <w:r w:rsidRPr="00F603DF">
        <w:rPr>
          <w:i/>
        </w:rPr>
        <w:t>De l'Anse-aux-foins à Saint-Fulgence. Un siècle et demi sur les rives du fjord</w:t>
      </w:r>
      <w:r w:rsidRPr="00F603DF">
        <w:t>, Saint-Fulgence : Gaymont.</w:t>
      </w:r>
    </w:p>
    <w:p w:rsidR="00380147" w:rsidRPr="00F603DF" w:rsidRDefault="00380147" w:rsidP="00380147">
      <w:pPr>
        <w:spacing w:before="120" w:after="120"/>
        <w:jc w:val="both"/>
      </w:pPr>
      <w:r w:rsidRPr="00F603DF">
        <w:t xml:space="preserve">Tremblay, Victor, 1984. </w:t>
      </w:r>
      <w:r w:rsidRPr="00F603DF">
        <w:rPr>
          <w:i/>
        </w:rPr>
        <w:t>Histoire du Saguenay depuis les origines jusqu'à 1870</w:t>
      </w:r>
      <w:r w:rsidRPr="00F603DF">
        <w:t>, Éd. La Société historique du Saguenay et La Librairie régionale.</w:t>
      </w:r>
    </w:p>
    <w:p w:rsidR="00380147" w:rsidRPr="00F603DF" w:rsidRDefault="00380147" w:rsidP="00380147">
      <w:pPr>
        <w:spacing w:before="120" w:after="120"/>
        <w:jc w:val="both"/>
      </w:pPr>
      <w:r w:rsidRPr="00F603DF">
        <w:t xml:space="preserve">Vézina, Raymond, 1975. </w:t>
      </w:r>
      <w:r w:rsidRPr="00F603DF">
        <w:rPr>
          <w:i/>
        </w:rPr>
        <w:t>Théophile Hamel</w:t>
      </w:r>
      <w:r>
        <w:rPr>
          <w:i/>
        </w:rPr>
        <w:t> </w:t>
      </w:r>
      <w:r w:rsidRPr="00F603DF">
        <w:rPr>
          <w:i/>
        </w:rPr>
        <w:t>: peintre national (1817-1870)</w:t>
      </w:r>
      <w:r w:rsidRPr="00F603DF">
        <w:t xml:space="preserve">, tome 1, Montréal : Élysée. </w:t>
      </w:r>
    </w:p>
    <w:p w:rsidR="00380147" w:rsidRDefault="00380147" w:rsidP="00380147">
      <w:pPr>
        <w:spacing w:before="120" w:after="120"/>
        <w:jc w:val="both"/>
      </w:pPr>
      <w:r w:rsidRPr="00F603DF">
        <w:t xml:space="preserve">Wright, Glenn T. 2000. “Trudeau, Toussaint” dans </w:t>
      </w:r>
      <w:r w:rsidRPr="00F603DF">
        <w:rPr>
          <w:i/>
        </w:rPr>
        <w:t>Dictionnaire biographique du Canada – Dictionary of canadian biography</w:t>
      </w:r>
      <w:r w:rsidRPr="00F603DF">
        <w:t>. Ve</w:t>
      </w:r>
      <w:r w:rsidRPr="00F603DF">
        <w:t>r</w:t>
      </w:r>
      <w:r w:rsidRPr="00F603DF">
        <w:t>sion sur cédérom. Université Laval et university of Toronto.</w:t>
      </w:r>
    </w:p>
    <w:p w:rsidR="00380147" w:rsidRDefault="00380147">
      <w:pPr>
        <w:jc w:val="both"/>
      </w:pPr>
    </w:p>
    <w:p w:rsidR="00380147" w:rsidRPr="00E07116" w:rsidRDefault="00380147" w:rsidP="00380147">
      <w:pPr>
        <w:jc w:val="both"/>
      </w:pPr>
    </w:p>
    <w:p w:rsidR="00380147" w:rsidRDefault="00380147" w:rsidP="00380147">
      <w:pPr>
        <w:jc w:val="both"/>
      </w:pPr>
      <w:r w:rsidRPr="003F76B5">
        <w:rPr>
          <w:b/>
          <w:color w:val="FF0000"/>
        </w:rPr>
        <w:t>NOTES</w:t>
      </w:r>
    </w:p>
    <w:p w:rsidR="00380147" w:rsidRDefault="00380147" w:rsidP="00380147">
      <w:pPr>
        <w:jc w:val="both"/>
      </w:pPr>
    </w:p>
    <w:p w:rsidR="00380147" w:rsidRPr="00E07116" w:rsidRDefault="00380147" w:rsidP="00380147">
      <w:pPr>
        <w:jc w:val="both"/>
      </w:pPr>
      <w:r>
        <w:t>Pour faciliter la consultation des notes en fin de texte, nous les avons toutes converties, dans cette édition numérique des Classiques des sciences sociales, en notes de bas de page. JMT.</w:t>
      </w:r>
    </w:p>
    <w:p w:rsidR="00380147" w:rsidRPr="00E07116" w:rsidRDefault="00380147" w:rsidP="00380147">
      <w:pPr>
        <w:jc w:val="both"/>
      </w:pPr>
    </w:p>
    <w:p w:rsidR="00380147" w:rsidRDefault="00380147">
      <w:pPr>
        <w:jc w:val="both"/>
      </w:pPr>
    </w:p>
    <w:p w:rsidR="00380147" w:rsidRDefault="00380147" w:rsidP="00E93E46">
      <w:pPr>
        <w:pStyle w:val="suite"/>
      </w:pPr>
      <w:r>
        <w:t>Fin du texte</w:t>
      </w:r>
    </w:p>
    <w:p w:rsidR="00380147" w:rsidRDefault="00380147">
      <w:pPr>
        <w:jc w:val="both"/>
      </w:pPr>
    </w:p>
    <w:sectPr w:rsidR="00380147" w:rsidSect="00380147">
      <w:headerReference w:type="default" r:id="rId2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7E9" w:rsidRDefault="008707E9">
      <w:r>
        <w:separator/>
      </w:r>
    </w:p>
  </w:endnote>
  <w:endnote w:type="continuationSeparator" w:id="0">
    <w:p w:rsidR="008707E9" w:rsidRDefault="0087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Arial-BoldMT">
    <w:altName w:val="Arial"/>
    <w:panose1 w:val="020B0604020202020204"/>
    <w:charset w:val="4D"/>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7E9" w:rsidRDefault="008707E9">
      <w:pPr>
        <w:ind w:firstLine="0"/>
      </w:pPr>
      <w:r>
        <w:separator/>
      </w:r>
    </w:p>
  </w:footnote>
  <w:footnote w:type="continuationSeparator" w:id="0">
    <w:p w:rsidR="008707E9" w:rsidRDefault="008707E9">
      <w:pPr>
        <w:ind w:firstLine="0"/>
      </w:pPr>
      <w:r>
        <w:separator/>
      </w:r>
    </w:p>
  </w:footnote>
  <w:footnote w:id="1">
    <w:p w:rsidR="00380147" w:rsidRDefault="00380147">
      <w:pPr>
        <w:pStyle w:val="Notedebasdepage"/>
      </w:pPr>
      <w:r>
        <w:rPr>
          <w:rStyle w:val="Appelnotedebasdep"/>
        </w:rPr>
        <w:footnoteRef/>
      </w:r>
      <w:r>
        <w:t xml:space="preserve"> </w:t>
      </w:r>
      <w:r>
        <w:tab/>
      </w:r>
      <w:r w:rsidRPr="001E09F8">
        <w:t>L'auteur remercie Sylvie Dussault et Gervais Tremblay, GRH-UQAC ainsi que Jean-Paul Lacasse, professeur à l'Université d'Ottawa pour leur contrib</w:t>
      </w:r>
      <w:r w:rsidRPr="001E09F8">
        <w:t>u</w:t>
      </w:r>
      <w:r w:rsidRPr="001E09F8">
        <w:t>tion respective dans la préparation de cet article. Leurs suggestions et co</w:t>
      </w:r>
      <w:r w:rsidRPr="001E09F8">
        <w:t>m</w:t>
      </w:r>
      <w:r w:rsidRPr="001E09F8">
        <w:t>mentaires ont été grandement appréciés. L'a</w:t>
      </w:r>
      <w:r w:rsidRPr="001E09F8">
        <w:t>u</w:t>
      </w:r>
      <w:r w:rsidRPr="001E09F8">
        <w:t>teur assume la responsabilité des pr</w:t>
      </w:r>
      <w:r w:rsidRPr="001E09F8">
        <w:t>o</w:t>
      </w:r>
      <w:r w:rsidRPr="001E09F8">
        <w:t>pos tenus dans son texte.</w:t>
      </w:r>
    </w:p>
  </w:footnote>
  <w:footnote w:id="2">
    <w:p w:rsidR="00380147" w:rsidRDefault="00380147" w:rsidP="00380147">
      <w:pPr>
        <w:pStyle w:val="Notedebasdepage"/>
      </w:pPr>
      <w:r>
        <w:rPr>
          <w:rStyle w:val="Appelnotedebasdep"/>
        </w:rPr>
        <w:footnoteRef/>
      </w:r>
      <w:r>
        <w:t xml:space="preserve"> </w:t>
      </w:r>
      <w:r>
        <w:tab/>
      </w:r>
      <w:r w:rsidRPr="001E09F8">
        <w:t xml:space="preserve">L’abréviation n.p. signifie notaire public. </w:t>
      </w:r>
    </w:p>
  </w:footnote>
  <w:footnote w:id="3">
    <w:p w:rsidR="00380147" w:rsidRDefault="00380147">
      <w:pPr>
        <w:pStyle w:val="Notedebasdepage"/>
      </w:pPr>
      <w:r>
        <w:rPr>
          <w:rStyle w:val="Appelnotedebasdep"/>
        </w:rPr>
        <w:footnoteRef/>
      </w:r>
      <w:r>
        <w:t xml:space="preserve"> </w:t>
      </w:r>
      <w:r>
        <w:tab/>
      </w:r>
      <w:r w:rsidRPr="001E09F8">
        <w:t>Voir à ce sujet Mailhot 1996.</w:t>
      </w:r>
    </w:p>
  </w:footnote>
  <w:footnote w:id="4">
    <w:p w:rsidR="00380147" w:rsidRDefault="00380147">
      <w:pPr>
        <w:pStyle w:val="Notedebasdepage"/>
      </w:pPr>
      <w:r>
        <w:rPr>
          <w:rStyle w:val="Appelnotedebasdep"/>
        </w:rPr>
        <w:footnoteRef/>
      </w:r>
      <w:r>
        <w:t xml:space="preserve"> </w:t>
      </w:r>
      <w:r>
        <w:tab/>
      </w:r>
      <w:r w:rsidRPr="001E09F8">
        <w:t>Sur le concept de territoire dans l'univers innu traditionnel, Lacasse, 1996, p. 189 ss.</w:t>
      </w:r>
    </w:p>
  </w:footnote>
  <w:footnote w:id="5">
    <w:p w:rsidR="00380147" w:rsidRDefault="00380147">
      <w:pPr>
        <w:pStyle w:val="Notedebasdepage"/>
      </w:pPr>
      <w:r>
        <w:rPr>
          <w:rStyle w:val="Appelnotedebasdep"/>
        </w:rPr>
        <w:footnoteRef/>
      </w:r>
      <w:r>
        <w:t xml:space="preserve"> </w:t>
      </w:r>
      <w:r>
        <w:tab/>
      </w:r>
      <w:r w:rsidRPr="001E09F8">
        <w:t>1988 : 60, 176, note 56.</w:t>
      </w:r>
    </w:p>
  </w:footnote>
  <w:footnote w:id="6">
    <w:p w:rsidR="00380147" w:rsidRDefault="00380147">
      <w:pPr>
        <w:pStyle w:val="Notedebasdepage"/>
      </w:pPr>
      <w:r>
        <w:rPr>
          <w:rStyle w:val="Appelnotedebasdep"/>
        </w:rPr>
        <w:footnoteRef/>
      </w:r>
      <w:r>
        <w:t xml:space="preserve"> </w:t>
      </w:r>
      <w:r>
        <w:tab/>
      </w:r>
      <w:r w:rsidRPr="001E09F8">
        <w:t>Michel Morin 1997 : 141, 272, 273.</w:t>
      </w:r>
    </w:p>
  </w:footnote>
  <w:footnote w:id="7">
    <w:p w:rsidR="00380147" w:rsidRDefault="00380147">
      <w:pPr>
        <w:pStyle w:val="Notedebasdepage"/>
      </w:pPr>
      <w:r>
        <w:rPr>
          <w:rStyle w:val="Appelnotedebasdep"/>
        </w:rPr>
        <w:footnoteRef/>
      </w:r>
      <w:r>
        <w:t xml:space="preserve"> </w:t>
      </w:r>
      <w:r>
        <w:tab/>
      </w:r>
      <w:r w:rsidRPr="001E09F8">
        <w:t>Renée Dupuis 1991 : 18, 22.</w:t>
      </w:r>
    </w:p>
  </w:footnote>
  <w:footnote w:id="8">
    <w:p w:rsidR="00380147" w:rsidRDefault="00380147">
      <w:pPr>
        <w:pStyle w:val="Notedebasdepage"/>
      </w:pPr>
      <w:r>
        <w:rPr>
          <w:rStyle w:val="Appelnotedebasdep"/>
        </w:rPr>
        <w:footnoteRef/>
      </w:r>
      <w:r>
        <w:t xml:space="preserve"> </w:t>
      </w:r>
      <w:r>
        <w:tab/>
      </w:r>
      <w:r w:rsidRPr="001E09F8">
        <w:t>Nous ignorons le nom du prédécesseur de Siméon, mais grâce au recens</w:t>
      </w:r>
      <w:r w:rsidRPr="001E09F8">
        <w:t>e</w:t>
      </w:r>
      <w:r w:rsidRPr="001E09F8">
        <w:t xml:space="preserve">ment fait par le curé Isidore Doucet en 1839, nous connaissons celui du chef du groupe qui habitait aux alentours du poste de Chicoutimi à ce moment : Pierre Laloutre (AnQC, fonds Mgr Victor Tremblay, dossier 10.7, microfilm no 679). </w:t>
      </w:r>
    </w:p>
  </w:footnote>
  <w:footnote w:id="9">
    <w:p w:rsidR="00380147" w:rsidRDefault="00380147">
      <w:pPr>
        <w:pStyle w:val="Notedebasdepage"/>
      </w:pPr>
      <w:r>
        <w:rPr>
          <w:rStyle w:val="Appelnotedebasdep"/>
        </w:rPr>
        <w:footnoteRef/>
      </w:r>
      <w:r>
        <w:t xml:space="preserve"> </w:t>
      </w:r>
      <w:r>
        <w:tab/>
      </w:r>
      <w:r w:rsidRPr="001E09F8">
        <w:t>Gagnon, Gaston 2000; AnQC, fonds Mgr Victor Tremblay, dossier 2.2, m</w:t>
      </w:r>
      <w:r w:rsidRPr="001E09F8">
        <w:t>i</w:t>
      </w:r>
      <w:r w:rsidRPr="001E09F8">
        <w:t>crofilm no 678 : lettre de l'abbé Jean-Baptiste Gagnon au grand vicaire C</w:t>
      </w:r>
      <w:r w:rsidRPr="001E09F8">
        <w:t>a</w:t>
      </w:r>
      <w:r w:rsidRPr="001E09F8">
        <w:t>zeau, Chicoutimi le 13 mai 1852; AnQC, fonds Mgr Victor Tremblay, dossier 3, pièce 7, pa</w:t>
      </w:r>
      <w:r>
        <w:t>ge 5 et Thérèse Simard, 1968, “</w:t>
      </w:r>
      <w:r w:rsidRPr="001E09F8">
        <w:t xml:space="preserve">Milaupanuish”, </w:t>
      </w:r>
      <w:r w:rsidRPr="001E09F8">
        <w:rPr>
          <w:i/>
        </w:rPr>
        <w:t>Échos du r</w:t>
      </w:r>
      <w:r w:rsidRPr="001E09F8">
        <w:rPr>
          <w:i/>
        </w:rPr>
        <w:t>o</w:t>
      </w:r>
      <w:r w:rsidRPr="001E09F8">
        <w:rPr>
          <w:i/>
        </w:rPr>
        <w:t>cher</w:t>
      </w:r>
      <w:r w:rsidRPr="001E09F8">
        <w:t>, no 72, avril, p. 29-30, dans dossier</w:t>
      </w:r>
      <w:r>
        <w:t> </w:t>
      </w:r>
      <w:r w:rsidRPr="001E09F8">
        <w:t>2, pièce</w:t>
      </w:r>
      <w:r>
        <w:t> </w:t>
      </w:r>
      <w:r w:rsidRPr="001E09F8">
        <w:t>40, microfilm no 678; Tre</w:t>
      </w:r>
      <w:r w:rsidRPr="001E09F8">
        <w:t>m</w:t>
      </w:r>
      <w:r w:rsidRPr="001E09F8">
        <w:t>blay, Victor 1984</w:t>
      </w:r>
      <w:r>
        <w:t> </w:t>
      </w:r>
      <w:r w:rsidRPr="001E09F8">
        <w:t>: 257</w:t>
      </w:r>
      <w:r>
        <w:t> </w:t>
      </w:r>
      <w:r w:rsidRPr="001E09F8">
        <w:t>; Pilote, François 1999 : 34.</w:t>
      </w:r>
    </w:p>
  </w:footnote>
  <w:footnote w:id="10">
    <w:p w:rsidR="00380147" w:rsidRDefault="00380147">
      <w:pPr>
        <w:pStyle w:val="Notedebasdepage"/>
      </w:pPr>
      <w:r>
        <w:rPr>
          <w:rStyle w:val="Appelnotedebasdep"/>
        </w:rPr>
        <w:footnoteRef/>
      </w:r>
      <w:r>
        <w:t xml:space="preserve"> </w:t>
      </w:r>
      <w:r>
        <w:tab/>
      </w:r>
      <w:r w:rsidRPr="001E09F8">
        <w:t>AnQC, fonds Mgr Victor Tremblay, dossier 2, pièce 6, microfilm no 678 : lettre de Eugène Caron à Victor Tremblay, le 22 novembre 1934; AnQC, fonds Mgr Victor Tremblay, dossier 10.3 (ou 339, p. 1, par. 9) : G. E. LaM</w:t>
      </w:r>
      <w:r w:rsidRPr="001E09F8">
        <w:t>o</w:t>
      </w:r>
      <w:r w:rsidRPr="001E09F8">
        <w:t xml:space="preserve">the, </w:t>
      </w:r>
      <w:r w:rsidRPr="001E09F8">
        <w:rPr>
          <w:i/>
        </w:rPr>
        <w:t xml:space="preserve">Origine de Chicoutimi industrielle 1842-1850 </w:t>
      </w:r>
      <w:r w:rsidRPr="001E09F8">
        <w:t>, Chicoutimi, 1941 (doc</w:t>
      </w:r>
      <w:r w:rsidRPr="001E09F8">
        <w:t>u</w:t>
      </w:r>
      <w:r w:rsidRPr="001E09F8">
        <w:t>ment non microfilmé); AnQC, fonds Mgr Victor Tremblay, dossier 10.6.1, p. 19 et 20, m</w:t>
      </w:r>
      <w:r w:rsidRPr="001E09F8">
        <w:t>i</w:t>
      </w:r>
      <w:r w:rsidRPr="001E09F8">
        <w:t xml:space="preserve">crofilm no 679; St-Hilaire, Marc 1989 : 61.  </w:t>
      </w:r>
    </w:p>
  </w:footnote>
  <w:footnote w:id="11">
    <w:p w:rsidR="00380147" w:rsidRDefault="00380147">
      <w:pPr>
        <w:pStyle w:val="Notedebasdepage"/>
      </w:pPr>
      <w:r>
        <w:rPr>
          <w:rStyle w:val="Appelnotedebasdep"/>
        </w:rPr>
        <w:footnoteRef/>
      </w:r>
      <w:r>
        <w:t xml:space="preserve"> </w:t>
      </w:r>
      <w:r>
        <w:tab/>
      </w:r>
      <w:r w:rsidRPr="001E09F8">
        <w:rPr>
          <w:lang w:val="en-US"/>
        </w:rPr>
        <w:t xml:space="preserve">Roy, Pierre-Georges 1936 : 61; </w:t>
      </w:r>
      <w:r w:rsidRPr="001E09F8">
        <w:rPr>
          <w:i/>
          <w:lang w:val="en-US"/>
        </w:rPr>
        <w:t>Canada-East census 1851</w:t>
      </w:r>
      <w:r w:rsidRPr="001E09F8">
        <w:rPr>
          <w:lang w:val="en-US"/>
        </w:rPr>
        <w:t xml:space="preserve">  Saguenay county; Tremblay, Victor 1984 : 396. </w:t>
      </w:r>
      <w:r w:rsidRPr="001E09F8">
        <w:t xml:space="preserve">On trouve une mention de Frederick Braun dans Wright 2000. </w:t>
      </w:r>
    </w:p>
  </w:footnote>
  <w:footnote w:id="12">
    <w:p w:rsidR="00380147" w:rsidRDefault="00380147">
      <w:pPr>
        <w:pStyle w:val="Notedebasdepage"/>
      </w:pPr>
      <w:r>
        <w:rPr>
          <w:rStyle w:val="Appelnotedebasdep"/>
        </w:rPr>
        <w:footnoteRef/>
      </w:r>
      <w:r>
        <w:t xml:space="preserve"> </w:t>
      </w:r>
      <w:r>
        <w:tab/>
      </w:r>
      <w:r w:rsidRPr="001E09F8">
        <w:t>Ovide Bossé (1828-1909) est reçu notaire en 1849 et vint se fixer l'année su</w:t>
      </w:r>
      <w:r w:rsidRPr="001E09F8">
        <w:t>i</w:t>
      </w:r>
      <w:r w:rsidRPr="001E09F8">
        <w:t>vante à Ch</w:t>
      </w:r>
      <w:r w:rsidRPr="001E09F8">
        <w:t>i</w:t>
      </w:r>
      <w:r w:rsidRPr="001E09F8">
        <w:t>coutimi. Il y pratiqua le notariat jusqu'en 1883. Il est grand voyer pour la municipalité no 2 du comté de Saguenay de 1850 à 1852, régistrateur du canton de Chicoutimi de 1853 à 1897, secrétaire-trésorier du conseil de vi</w:t>
      </w:r>
      <w:r w:rsidRPr="001E09F8">
        <w:t>l</w:t>
      </w:r>
      <w:r w:rsidRPr="001E09F8">
        <w:t>le de Chicoutimi de 1882 à 1892 et remplit la fonction de shérif de 1858 ju</w:t>
      </w:r>
      <w:r w:rsidRPr="001E09F8">
        <w:t>s</w:t>
      </w:r>
      <w:r w:rsidRPr="001E09F8">
        <w:t>qu'à son décès. Secrétaire-trésorier de la première commission scolaire du canton de Ch</w:t>
      </w:r>
      <w:r w:rsidRPr="001E09F8">
        <w:t>i</w:t>
      </w:r>
      <w:r w:rsidRPr="001E09F8">
        <w:t>coutimi, de 1852 à 1858, il en devint président de 1877 à 1880. Un de ses fils, Maurice-Ovide, pratiqua également le notariat à Chicoutimi (Léonidas Bélanger 1968. Le greffe du notaire Ovide Bossé est conservé aux Archives nationales du Québec à Chicoutimi [cote CN201, S2]).</w:t>
      </w:r>
    </w:p>
  </w:footnote>
  <w:footnote w:id="13">
    <w:p w:rsidR="00380147" w:rsidRDefault="00380147">
      <w:pPr>
        <w:pStyle w:val="Notedebasdepage"/>
      </w:pPr>
      <w:r>
        <w:rPr>
          <w:rStyle w:val="Appelnotedebasdep"/>
        </w:rPr>
        <w:footnoteRef/>
      </w:r>
      <w:r>
        <w:t xml:space="preserve"> </w:t>
      </w:r>
      <w:r>
        <w:tab/>
      </w:r>
      <w:r w:rsidRPr="001E09F8">
        <w:t>Louis-Zéphirin Rousseau, originaire de Baie St-Paul, ouvrit son bureau à St-Alphonse de Bagotville le 1er mars 1854, devenant ainsi le premier notaire de l'endroit. Selon ses propres dires, il serait arrivé au S</w:t>
      </w:r>
      <w:r w:rsidRPr="001E09F8">
        <w:t>a</w:t>
      </w:r>
      <w:r w:rsidRPr="001E09F8">
        <w:t>guenay cinq ans plus tôt, donc vers 1849. Il réside au Saguenay en 1851. Il prit en charge le premier b</w:t>
      </w:r>
      <w:r w:rsidRPr="001E09F8">
        <w:t>u</w:t>
      </w:r>
      <w:r w:rsidRPr="001E09F8">
        <w:t>reau de poste du village. Lorsque s'organise le premier conseil municipal du comté, en 1850-1851, Rousseau en d</w:t>
      </w:r>
      <w:r w:rsidRPr="001E09F8">
        <w:t>e</w:t>
      </w:r>
      <w:r w:rsidRPr="001E09F8">
        <w:t>vint le secrétaire. Il quitta le Saguenay avec sa famille en 1864 pour s'installer à Sainte-Anne de Beaupré. Il décéda à Montréal en 1881 (AnQC, fonds Mgr Victor Tremblay, dossier 4, piè</w:t>
      </w:r>
      <w:r>
        <w:t>ces 2, 4, 6-7, microfilm no 700</w:t>
      </w:r>
      <w:r w:rsidRPr="001E09F8">
        <w:t>: notes de Marie T. Dufour, Bago</w:t>
      </w:r>
      <w:r w:rsidRPr="001E09F8">
        <w:t>t</w:t>
      </w:r>
      <w:r w:rsidRPr="001E09F8">
        <w:t xml:space="preserve">ville, 26 février 1939; </w:t>
      </w:r>
      <w:r w:rsidRPr="001E09F8">
        <w:rPr>
          <w:i/>
        </w:rPr>
        <w:t>Canada-East census 1851</w:t>
      </w:r>
      <w:r w:rsidRPr="001E09F8">
        <w:t xml:space="preserve"> Saguenay county; Bo</w:t>
      </w:r>
      <w:r w:rsidRPr="001E09F8">
        <w:t>u</w:t>
      </w:r>
      <w:r w:rsidRPr="001E09F8">
        <w:t>chard, Russel 1996</w:t>
      </w:r>
      <w:r>
        <w:t> </w:t>
      </w:r>
      <w:r w:rsidRPr="001E09F8">
        <w:t>: 29. Le greffe du notaire Louis-Zéphirin Rousseau est conservé aux Archives nation</w:t>
      </w:r>
      <w:r w:rsidRPr="001E09F8">
        <w:t>a</w:t>
      </w:r>
      <w:r w:rsidRPr="001E09F8">
        <w:t xml:space="preserve">les du Québec à Québec [cote CN301,S247]). </w:t>
      </w:r>
    </w:p>
  </w:footnote>
  <w:footnote w:id="14">
    <w:p w:rsidR="00380147" w:rsidRDefault="00380147">
      <w:pPr>
        <w:pStyle w:val="Notedebasdepage"/>
      </w:pPr>
      <w:r>
        <w:rPr>
          <w:rStyle w:val="Appelnotedebasdep"/>
        </w:rPr>
        <w:footnoteRef/>
      </w:r>
      <w:r>
        <w:t xml:space="preserve"> </w:t>
      </w:r>
      <w:r>
        <w:tab/>
      </w:r>
      <w:r w:rsidRPr="001E09F8">
        <w:t>La maison du notaire John Kane, sise sur la rue Roy à La Baie, est l'une des plus anciennes de l'endroit. Son style rappelle les demeures du début du XIX</w:t>
      </w:r>
      <w:r w:rsidRPr="001E09F8">
        <w:rPr>
          <w:position w:val="4"/>
        </w:rPr>
        <w:t>e</w:t>
      </w:r>
      <w:r w:rsidRPr="001E09F8">
        <w:t xml:space="preserve"> siècle (Noppen, Morisset 1998</w:t>
      </w:r>
      <w:r>
        <w:t> </w:t>
      </w:r>
      <w:r w:rsidRPr="001E09F8">
        <w:t xml:space="preserve">: 125). Il se peut que Kane l'habitait déjà au moment du protêt.  </w:t>
      </w:r>
    </w:p>
  </w:footnote>
  <w:footnote w:id="15">
    <w:p w:rsidR="00380147" w:rsidRDefault="00380147">
      <w:pPr>
        <w:pStyle w:val="Notedebasdepage"/>
      </w:pPr>
      <w:r>
        <w:rPr>
          <w:rStyle w:val="Appelnotedebasdep"/>
        </w:rPr>
        <w:footnoteRef/>
      </w:r>
      <w:r>
        <w:t xml:space="preserve"> </w:t>
      </w:r>
      <w:r>
        <w:tab/>
      </w:r>
      <w:r w:rsidRPr="001E09F8">
        <w:t>AnQC, fonds Mgr Victor Tremblay, dossier 327, pièce 4, microfilm no 710; Gérard, Éloi 1943 : 15-16; Bouchard, Russel, sur ville de La Baie, 1996 : 25; G</w:t>
      </w:r>
      <w:r w:rsidRPr="001E09F8">
        <w:t>i</w:t>
      </w:r>
      <w:r w:rsidRPr="001E09F8">
        <w:t>rard, Perron 1995</w:t>
      </w:r>
      <w:r>
        <w:t> </w:t>
      </w:r>
      <w:r w:rsidRPr="001E09F8">
        <w:t>: 216-217. Le greffe du notaire John Kane est conservé aux Archives nationales du Québec à Québec (cote CN304, S13) dont une c</w:t>
      </w:r>
      <w:r w:rsidRPr="001E09F8">
        <w:t>o</w:t>
      </w:r>
      <w:r w:rsidRPr="001E09F8">
        <w:t>pie microfilmée se trouve aux Archives nationales du Québec à Chico</w:t>
      </w:r>
      <w:r w:rsidRPr="001E09F8">
        <w:t>u</w:t>
      </w:r>
      <w:r w:rsidRPr="001E09F8">
        <w:t>timi (cote ZA66). Ajoutons que John Kane et son épouse ont été peints par Thé</w:t>
      </w:r>
      <w:r w:rsidRPr="001E09F8">
        <w:t>o</w:t>
      </w:r>
      <w:r w:rsidRPr="001E09F8">
        <w:t>phile Hamel en 1852 (en réalité, seul le portrait de l'épouse de Kane indique la date de 1852) (V</w:t>
      </w:r>
      <w:r w:rsidRPr="001E09F8">
        <w:t>é</w:t>
      </w:r>
      <w:r w:rsidRPr="001E09F8">
        <w:t>zina, Raymond 1975</w:t>
      </w:r>
      <w:r>
        <w:t> </w:t>
      </w:r>
      <w:r w:rsidRPr="001E09F8">
        <w:t>: 154-155).</w:t>
      </w:r>
    </w:p>
  </w:footnote>
  <w:footnote w:id="16">
    <w:p w:rsidR="00380147" w:rsidRDefault="00380147">
      <w:pPr>
        <w:pStyle w:val="Notedebasdepage"/>
      </w:pPr>
      <w:r>
        <w:rPr>
          <w:rStyle w:val="Appelnotedebasdep"/>
        </w:rPr>
        <w:footnoteRef/>
      </w:r>
      <w:r>
        <w:t xml:space="preserve"> </w:t>
      </w:r>
      <w:r>
        <w:tab/>
      </w:r>
      <w:r w:rsidRPr="001E09F8">
        <w:t>Schulze 1997 : partie II E; Michel Morin 1997 : 145.</w:t>
      </w:r>
    </w:p>
  </w:footnote>
  <w:footnote w:id="17">
    <w:p w:rsidR="00380147" w:rsidRDefault="00380147">
      <w:pPr>
        <w:pStyle w:val="Notedebasdepage"/>
      </w:pPr>
      <w:r>
        <w:rPr>
          <w:rStyle w:val="Appelnotedebasdep"/>
        </w:rPr>
        <w:footnoteRef/>
      </w:r>
      <w:r>
        <w:t xml:space="preserve"> </w:t>
      </w:r>
      <w:r>
        <w:tab/>
      </w:r>
      <w:r w:rsidRPr="001E09F8">
        <w:t>Voir à ce propos Michel Morin 1997 : 150.</w:t>
      </w:r>
    </w:p>
  </w:footnote>
  <w:footnote w:id="18">
    <w:p w:rsidR="00380147" w:rsidRDefault="00380147">
      <w:pPr>
        <w:pStyle w:val="Notedebasdepage"/>
      </w:pPr>
      <w:r>
        <w:rPr>
          <w:rStyle w:val="Appelnotedebasdep"/>
        </w:rPr>
        <w:footnoteRef/>
      </w:r>
      <w:r>
        <w:t xml:space="preserve"> </w:t>
      </w:r>
      <w:r>
        <w:tab/>
      </w:r>
      <w:r w:rsidRPr="001E09F8">
        <w:rPr>
          <w:i/>
        </w:rPr>
        <w:t>Appendice du cinquième volume des journaux de l'Assemblée législative de la Province du Canada</w:t>
      </w:r>
      <w:r w:rsidRPr="001E09F8">
        <w:t>, 2e session, 2</w:t>
      </w:r>
      <w:r w:rsidRPr="001E09F8">
        <w:rPr>
          <w:vertAlign w:val="superscript"/>
        </w:rPr>
        <w:t>e</w:t>
      </w:r>
      <w:r w:rsidRPr="001E09F8">
        <w:t xml:space="preserve"> parlement, session 1846, Montréal : Louis Perreault, 1846, appendice A; AnQC, fonds mgr Victor Tremblay, cote 491-C</w:t>
      </w:r>
      <w:r>
        <w:t> </w:t>
      </w:r>
      <w:r w:rsidRPr="001E09F8">
        <w:t>: “Indians of the Saguenay and Ottawa : go</w:t>
      </w:r>
      <w:r w:rsidRPr="001E09F8">
        <w:t>u</w:t>
      </w:r>
      <w:r w:rsidRPr="001E09F8">
        <w:t>vernment House, Montreal, tuesday 7th august 1849 ”.</w:t>
      </w:r>
    </w:p>
  </w:footnote>
  <w:footnote w:id="19">
    <w:p w:rsidR="00380147" w:rsidRDefault="00380147">
      <w:pPr>
        <w:pStyle w:val="Notedebasdepage"/>
      </w:pPr>
      <w:r>
        <w:rPr>
          <w:rStyle w:val="Appelnotedebasdep"/>
        </w:rPr>
        <w:footnoteRef/>
      </w:r>
      <w:r>
        <w:t xml:space="preserve"> </w:t>
      </w:r>
      <w:r>
        <w:tab/>
      </w:r>
      <w:r w:rsidRPr="001E09F8">
        <w:t>Michel Morin 1997 : 148.</w:t>
      </w:r>
    </w:p>
  </w:footnote>
  <w:footnote w:id="20">
    <w:p w:rsidR="00380147" w:rsidRDefault="00380147">
      <w:pPr>
        <w:pStyle w:val="Notedebasdepage"/>
      </w:pPr>
      <w:r>
        <w:rPr>
          <w:rStyle w:val="Appelnotedebasdep"/>
        </w:rPr>
        <w:footnoteRef/>
      </w:r>
      <w:r>
        <w:t xml:space="preserve"> </w:t>
      </w:r>
      <w:r>
        <w:tab/>
      </w:r>
      <w:r w:rsidRPr="001E09F8">
        <w:t>Voir à ce sujet Michel Morin 1997 : 161, 210.</w:t>
      </w:r>
    </w:p>
  </w:footnote>
  <w:footnote w:id="21">
    <w:p w:rsidR="00380147" w:rsidRDefault="00380147">
      <w:pPr>
        <w:pStyle w:val="Notedebasdepage"/>
      </w:pPr>
      <w:r>
        <w:rPr>
          <w:rStyle w:val="Appelnotedebasdep"/>
        </w:rPr>
        <w:footnoteRef/>
      </w:r>
      <w:r>
        <w:t xml:space="preserve"> </w:t>
      </w:r>
      <w:r>
        <w:tab/>
      </w:r>
      <w:r w:rsidRPr="001E09F8">
        <w:t>Michel Morin 1997 : 139, 11, 234.</w:t>
      </w:r>
    </w:p>
  </w:footnote>
  <w:footnote w:id="22">
    <w:p w:rsidR="00380147" w:rsidRDefault="00380147">
      <w:pPr>
        <w:pStyle w:val="Notedebasdepage"/>
      </w:pPr>
      <w:r>
        <w:rPr>
          <w:rStyle w:val="Appelnotedebasdep"/>
        </w:rPr>
        <w:footnoteRef/>
      </w:r>
      <w:r>
        <w:t xml:space="preserve"> </w:t>
      </w:r>
      <w:r>
        <w:tab/>
      </w:r>
      <w:r w:rsidRPr="001E09F8">
        <w:t>AnQC, fonds de la Cour de circuit de Chicoutimi (cote : TP10, S14, SS4, SSS1).</w:t>
      </w:r>
    </w:p>
  </w:footnote>
  <w:footnote w:id="23">
    <w:p w:rsidR="00380147" w:rsidRDefault="00380147">
      <w:pPr>
        <w:pStyle w:val="Notedebasdepage"/>
      </w:pPr>
      <w:r>
        <w:rPr>
          <w:rStyle w:val="Appelnotedebasdep"/>
        </w:rPr>
        <w:footnoteRef/>
      </w:r>
      <w:r>
        <w:t xml:space="preserve"> </w:t>
      </w:r>
      <w:r>
        <w:tab/>
      </w:r>
      <w:r w:rsidRPr="001E09F8">
        <w:t>Voir à ce sujet Michel Morin 1997 : 161, 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147" w:rsidRPr="008B48CA" w:rsidRDefault="00380147" w:rsidP="00380147">
    <w:pPr>
      <w:pStyle w:val="En-tte"/>
      <w:tabs>
        <w:tab w:val="clear" w:pos="4320"/>
        <w:tab w:val="clear" w:pos="8640"/>
        <w:tab w:val="right" w:pos="7380"/>
        <w:tab w:val="right" w:pos="7920"/>
      </w:tabs>
      <w:ind w:firstLine="0"/>
      <w:rPr>
        <w:rFonts w:ascii="Times New Roman" w:hAnsi="Times New Roman"/>
      </w:rPr>
    </w:pPr>
    <w:r w:rsidRPr="008B48CA">
      <w:rPr>
        <w:rFonts w:ascii="Times New Roman" w:hAnsi="Times New Roman"/>
      </w:rPr>
      <w:tab/>
    </w:r>
    <w:r>
      <w:rPr>
        <w:rFonts w:ascii="Times New Roman" w:hAnsi="Times New Roman"/>
      </w:rPr>
      <w:t xml:space="preserve">Camil Girard, </w:t>
    </w:r>
    <w:r w:rsidRPr="00C40B26">
      <w:rPr>
        <w:rFonts w:ascii="Times New Roman" w:hAnsi="Times New Roman"/>
      </w:rPr>
      <w:t>“Un document inéd</w:t>
    </w:r>
    <w:r>
      <w:rPr>
        <w:rFonts w:ascii="Times New Roman" w:hAnsi="Times New Roman"/>
      </w:rPr>
      <w:t>it sur les droits territoriaux...”  (2003</w:t>
    </w:r>
    <w:r w:rsidRPr="008B48CA">
      <w:rPr>
        <w:rFonts w:ascii="Times New Roman" w:hAnsi="Times New Roman"/>
      </w:rPr>
      <w:t>)</w:t>
    </w:r>
    <w:r w:rsidRPr="008B48CA">
      <w:rPr>
        <w:rFonts w:ascii="Times New Roman" w:hAnsi="Times New Roman"/>
      </w:rPr>
      <w:tab/>
    </w:r>
    <w:r w:rsidRPr="008B48CA">
      <w:rPr>
        <w:rStyle w:val="Numrodepage"/>
        <w:rFonts w:ascii="Times New Roman" w:hAnsi="Times New Roman"/>
      </w:rPr>
      <w:fldChar w:fldCharType="begin"/>
    </w:r>
    <w:r w:rsidRPr="008B48CA">
      <w:rPr>
        <w:rStyle w:val="Numrodepage"/>
        <w:rFonts w:ascii="Times New Roman" w:hAnsi="Times New Roman"/>
      </w:rPr>
      <w:instrText xml:space="preserve"> </w:instrText>
    </w:r>
    <w:r w:rsidR="008707E9">
      <w:rPr>
        <w:rStyle w:val="Numrodepage"/>
        <w:rFonts w:ascii="Times New Roman" w:hAnsi="Times New Roman"/>
      </w:rPr>
      <w:instrText>PAGE</w:instrText>
    </w:r>
    <w:r w:rsidRPr="008B48CA">
      <w:rPr>
        <w:rStyle w:val="Numrodepage"/>
        <w:rFonts w:ascii="Times New Roman" w:hAnsi="Times New Roman"/>
      </w:rPr>
      <w:instrText xml:space="preserve"> </w:instrText>
    </w:r>
    <w:r w:rsidRPr="008B48CA">
      <w:rPr>
        <w:rStyle w:val="Numrodepage"/>
        <w:rFonts w:ascii="Times New Roman" w:hAnsi="Times New Roman"/>
      </w:rPr>
      <w:fldChar w:fldCharType="separate"/>
    </w:r>
    <w:r>
      <w:rPr>
        <w:rStyle w:val="Numrodepage"/>
        <w:rFonts w:ascii="Times New Roman" w:hAnsi="Times New Roman"/>
        <w:noProof/>
      </w:rPr>
      <w:t>30</w:t>
    </w:r>
    <w:r w:rsidRPr="008B48CA">
      <w:rPr>
        <w:rStyle w:val="Numrodepage"/>
        <w:rFonts w:ascii="Times New Roman" w:hAnsi="Times New Roman"/>
      </w:rPr>
      <w:fldChar w:fldCharType="end"/>
    </w:r>
  </w:p>
  <w:p w:rsidR="00380147" w:rsidRPr="00E536AD" w:rsidRDefault="00380147">
    <w:pPr>
      <w:pBdr>
        <w:top w:val="single" w:sz="4" w:space="1" w:color="auto"/>
      </w:pBdr>
      <w:spacing w:before="60"/>
      <w:rPr>
        <w:rStyle w:val="Numrodepa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D644A"/>
    <w:rsid w:val="00380147"/>
    <w:rsid w:val="008707E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63A1BA09-F277-2847-8C0B-AA07A4F6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0"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0"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506"/>
    <w:pPr>
      <w:ind w:firstLine="360"/>
    </w:pPr>
    <w:rPr>
      <w:rFonts w:ascii="Times New Roman" w:eastAsia="Times New Roman" w:hAnsi="Times New Roman"/>
      <w:sz w:val="28"/>
      <w:lang w:eastAsia="en-US"/>
    </w:rPr>
  </w:style>
  <w:style w:type="paragraph" w:styleId="Titre1">
    <w:name w:val="heading 1"/>
    <w:next w:val="Normal"/>
    <w:qFormat/>
    <w:rsid w:val="0058603D"/>
    <w:pPr>
      <w:outlineLvl w:val="0"/>
    </w:pPr>
    <w:rPr>
      <w:rFonts w:eastAsia="Times New Roman"/>
      <w:noProof/>
      <w:lang w:eastAsia="en-US"/>
    </w:rPr>
  </w:style>
  <w:style w:type="paragraph" w:styleId="Titre2">
    <w:name w:val="heading 2"/>
    <w:next w:val="Normal"/>
    <w:qFormat/>
    <w:rsid w:val="0058603D"/>
    <w:pPr>
      <w:outlineLvl w:val="1"/>
    </w:pPr>
    <w:rPr>
      <w:rFonts w:eastAsia="Times New Roman"/>
      <w:noProof/>
      <w:lang w:eastAsia="en-US"/>
    </w:rPr>
  </w:style>
  <w:style w:type="paragraph" w:styleId="Titre3">
    <w:name w:val="heading 3"/>
    <w:next w:val="Normal"/>
    <w:qFormat/>
    <w:rsid w:val="0058603D"/>
    <w:pPr>
      <w:outlineLvl w:val="2"/>
    </w:pPr>
    <w:rPr>
      <w:rFonts w:eastAsia="Times New Roman"/>
      <w:noProof/>
      <w:lang w:eastAsia="en-US"/>
    </w:rPr>
  </w:style>
  <w:style w:type="paragraph" w:styleId="Titre4">
    <w:name w:val="heading 4"/>
    <w:next w:val="Normal"/>
    <w:qFormat/>
    <w:rsid w:val="0058603D"/>
    <w:pPr>
      <w:outlineLvl w:val="3"/>
    </w:pPr>
    <w:rPr>
      <w:rFonts w:eastAsia="Times New Roman"/>
      <w:noProof/>
      <w:lang w:eastAsia="en-US"/>
    </w:rPr>
  </w:style>
  <w:style w:type="paragraph" w:styleId="Titre5">
    <w:name w:val="heading 5"/>
    <w:next w:val="Normal"/>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customStyle="1" w:styleId="Titre6Car">
    <w:name w:val="Titre 6 Car"/>
    <w:basedOn w:val="Policepardfaut"/>
    <w:link w:val="Titre6"/>
    <w:rsid w:val="00C34171"/>
    <w:rPr>
      <w:rFonts w:eastAsia="Times New Roman"/>
      <w:noProof/>
      <w:lang w:val="fr-CA" w:eastAsia="en-US" w:bidi="ar-SA"/>
    </w:rPr>
  </w:style>
  <w:style w:type="character" w:customStyle="1" w:styleId="Titre7Car">
    <w:name w:val="Titre 7 Car"/>
    <w:basedOn w:val="Policepardfaut"/>
    <w:link w:val="Titre7"/>
    <w:rsid w:val="00C34171"/>
    <w:rPr>
      <w:rFonts w:eastAsia="Times New Roman"/>
      <w:noProof/>
      <w:lang w:val="fr-CA" w:eastAsia="en-US" w:bidi="ar-SA"/>
    </w:rPr>
  </w:style>
  <w:style w:type="character" w:customStyle="1" w:styleId="Titre8Car">
    <w:name w:val="Titre 8 Car"/>
    <w:basedOn w:val="Policepardfaut"/>
    <w:link w:val="Titre8"/>
    <w:rsid w:val="00C34171"/>
    <w:rPr>
      <w:rFonts w:eastAsia="Times New Roman"/>
      <w:noProof/>
      <w:lang w:val="fr-CA" w:eastAsia="en-US" w:bidi="ar-SA"/>
    </w:rPr>
  </w:style>
  <w:style w:type="character" w:customStyle="1" w:styleId="Titre9Car">
    <w:name w:val="Titre 9 Car"/>
    <w:basedOn w:val="Policepardfaut"/>
    <w:link w:val="Titre9"/>
    <w:rsid w:val="00C34171"/>
    <w:rPr>
      <w:rFonts w:eastAsia="Times New Roman"/>
      <w:noProof/>
      <w:lang w:val="fr-CA" w:eastAsia="en-US" w:bidi="ar-SA"/>
    </w:rPr>
  </w:style>
  <w:style w:type="character" w:styleId="Appeldenotedefin">
    <w:name w:val="endnote reference"/>
    <w:basedOn w:val="Policepardfaut"/>
    <w:rsid w:val="0058603D"/>
    <w:rPr>
      <w:vertAlign w:val="superscript"/>
    </w:rPr>
  </w:style>
  <w:style w:type="character" w:styleId="Appelnotedebasdep">
    <w:name w:val="footnote reference"/>
    <w:basedOn w:val="Policepardfaut"/>
    <w:autoRedefine/>
    <w:rsid w:val="004D116B"/>
    <w:rPr>
      <w:color w:val="FF0000"/>
      <w:position w:val="6"/>
      <w:sz w:val="20"/>
    </w:rPr>
  </w:style>
  <w:style w:type="paragraph" w:styleId="Grillecouleur-Accent1">
    <w:name w:val="Colorful Grid Accent 1"/>
    <w:basedOn w:val="Normal"/>
    <w:link w:val="Grillecouleur-Accent1Car"/>
    <w:autoRedefine/>
    <w:rsid w:val="00C5466B"/>
    <w:pPr>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C5466B"/>
    <w:rPr>
      <w:rFonts w:ascii="Times New Roman" w:eastAsia="Times New Roman" w:hAnsi="Times New Roman"/>
      <w:color w:val="000080"/>
      <w:sz w:val="24"/>
      <w:lang w:val="fr-CA" w:eastAsia="en-US"/>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58603D"/>
    <w:pPr>
      <w:jc w:val="center"/>
    </w:pPr>
    <w:rPr>
      <w:i/>
      <w:color w:val="000080"/>
      <w:sz w:val="28"/>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620264"/>
    <w:pPr>
      <w:pBdr>
        <w:bottom w:val="single" w:sz="4" w:space="1" w:color="auto"/>
      </w:pBdr>
      <w:ind w:left="1440" w:right="1440"/>
      <w:jc w:val="center"/>
    </w:pPr>
    <w:rPr>
      <w:b w:val="0"/>
      <w:sz w:val="60"/>
    </w:rPr>
  </w:style>
  <w:style w:type="paragraph" w:customStyle="1" w:styleId="Titreniveau2">
    <w:name w:val="Titre niveau 2"/>
    <w:basedOn w:val="Titreniveau1"/>
    <w:autoRedefine/>
    <w:rsid w:val="00233506"/>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58603D"/>
    <w:pPr>
      <w:spacing w:before="360" w:after="240"/>
      <w:ind w:firstLine="0"/>
      <w:jc w:val="center"/>
    </w:pPr>
    <w:rPr>
      <w:sz w:val="72"/>
    </w:rPr>
  </w:style>
  <w:style w:type="character" w:customStyle="1" w:styleId="CorpsdetexteCar">
    <w:name w:val="Corps de texte Car"/>
    <w:basedOn w:val="Policepardfaut"/>
    <w:link w:val="Corpsdetexte"/>
    <w:rsid w:val="00C34171"/>
    <w:rPr>
      <w:rFonts w:ascii="Times New Roman" w:eastAsia="Times New Roman" w:hAnsi="Times New Roman"/>
      <w:sz w:val="72"/>
      <w:lang w:val="fr-CA" w:eastAsia="en-US"/>
    </w:rPr>
  </w:style>
  <w:style w:type="paragraph" w:styleId="Corpsdetexte2">
    <w:name w:val="Body Text 2"/>
    <w:basedOn w:val="Normal"/>
    <w:link w:val="Corpsdetexte2Car"/>
    <w:rsid w:val="0058603D"/>
    <w:pPr>
      <w:ind w:firstLine="0"/>
      <w:jc w:val="both"/>
    </w:pPr>
    <w:rPr>
      <w:rFonts w:ascii="Arial" w:hAnsi="Arial"/>
    </w:rPr>
  </w:style>
  <w:style w:type="character" w:customStyle="1" w:styleId="Corpsdetexte2Car">
    <w:name w:val="Corps de texte 2 Car"/>
    <w:basedOn w:val="Policepardfaut"/>
    <w:link w:val="Corpsdetexte2"/>
    <w:rsid w:val="00C34171"/>
    <w:rPr>
      <w:rFonts w:ascii="Arial" w:eastAsia="Times New Roman" w:hAnsi="Arial"/>
      <w:sz w:val="28"/>
      <w:lang w:val="fr-CA" w:eastAsia="en-US"/>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C34171"/>
    <w:rPr>
      <w:rFonts w:ascii="Arial" w:eastAsia="Times New Roman" w:hAnsi="Arial"/>
      <w:lang w:val="fr-CA" w:eastAsia="en-US"/>
    </w:rPr>
  </w:style>
  <w:style w:type="paragraph" w:styleId="En-tte">
    <w:name w:val="header"/>
    <w:basedOn w:val="Normal"/>
    <w:uiPriority w:val="99"/>
    <w:rsid w:val="0058603D"/>
    <w:pPr>
      <w:tabs>
        <w:tab w:val="center" w:pos="4320"/>
        <w:tab w:val="right" w:pos="8640"/>
      </w:tabs>
    </w:pPr>
    <w:rPr>
      <w:rFonts w:ascii="GillSans" w:hAnsi="GillSans"/>
      <w:sz w:val="20"/>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val="0"/>
      <w:i w:val="0"/>
      <w:color w:val="800080"/>
      <w:sz w:val="48"/>
    </w:rPr>
  </w:style>
  <w:style w:type="paragraph" w:styleId="Notedebasdepage">
    <w:name w:val="footnote text"/>
    <w:basedOn w:val="Normal"/>
    <w:autoRedefine/>
    <w:rsid w:val="004D116B"/>
    <w:pPr>
      <w:ind w:left="360" w:hanging="360"/>
      <w:jc w:val="both"/>
    </w:pPr>
    <w:rPr>
      <w:color w:val="000000"/>
      <w:sz w:val="24"/>
    </w:rPr>
  </w:style>
  <w:style w:type="character" w:styleId="Numrodepage">
    <w:name w:val="page number"/>
    <w:basedOn w:val="Policepardfaut"/>
    <w:rsid w:val="0058603D"/>
  </w:style>
  <w:style w:type="paragraph" w:styleId="Pieddepage">
    <w:name w:val="footer"/>
    <w:basedOn w:val="Normal"/>
    <w:uiPriority w:val="99"/>
    <w:rsid w:val="0058603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58603D"/>
    <w:pPr>
      <w:ind w:left="20" w:firstLine="400"/>
    </w:pPr>
    <w:rPr>
      <w:rFonts w:ascii="Arial" w:hAnsi="Arial"/>
    </w:rPr>
  </w:style>
  <w:style w:type="character" w:customStyle="1" w:styleId="RetraitcorpsdetexteCar">
    <w:name w:val="Retrait corps de texte Car"/>
    <w:basedOn w:val="Policepardfaut"/>
    <w:link w:val="Retraitcorpsdetexte"/>
    <w:rsid w:val="00C34171"/>
    <w:rPr>
      <w:rFonts w:ascii="Arial" w:eastAsia="Times New Roman" w:hAnsi="Arial"/>
      <w:sz w:val="28"/>
      <w:lang w:val="fr-CA" w:eastAsia="en-US"/>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C34171"/>
    <w:rPr>
      <w:rFonts w:ascii="Arial" w:eastAsia="Times New Roman" w:hAnsi="Arial"/>
      <w:sz w:val="28"/>
      <w:lang w:val="fr-CA" w:eastAsia="en-US"/>
    </w:rPr>
  </w:style>
  <w:style w:type="paragraph" w:styleId="Retraitcorpsdetexte3">
    <w:name w:val="Body Text Indent 3"/>
    <w:basedOn w:val="Normal"/>
    <w:link w:val="Retraitcorpsdetexte3Car"/>
    <w:rsid w:val="0058603D"/>
    <w:pPr>
      <w:ind w:left="20" w:firstLine="380"/>
      <w:jc w:val="both"/>
    </w:pPr>
    <w:rPr>
      <w:rFonts w:ascii="Arial" w:hAnsi="Arial"/>
    </w:rPr>
  </w:style>
  <w:style w:type="character" w:customStyle="1" w:styleId="Retraitcorpsdetexte3Car">
    <w:name w:val="Retrait corps de texte 3 Car"/>
    <w:basedOn w:val="Policepardfaut"/>
    <w:link w:val="Retraitcorpsdetexte3"/>
    <w:rsid w:val="00C34171"/>
    <w:rPr>
      <w:rFonts w:ascii="Arial" w:eastAsia="Times New Roman" w:hAnsi="Arial"/>
      <w:sz w:val="28"/>
      <w:lang w:val="fr-CA" w:eastAsia="en-US"/>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rPr>
  </w:style>
  <w:style w:type="character" w:customStyle="1" w:styleId="TitreCar">
    <w:name w:val="Titre Car"/>
    <w:basedOn w:val="Policepardfaut"/>
    <w:link w:val="Titre"/>
    <w:rsid w:val="00C34171"/>
    <w:rPr>
      <w:rFonts w:ascii="Times New Roman" w:eastAsia="Times New Roman" w:hAnsi="Times New Roman"/>
      <w:b/>
      <w:sz w:val="48"/>
      <w:lang w:val="fr-CA" w:eastAsia="en-US"/>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13DD6"/>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58603D"/>
    <w:pPr>
      <w:spacing w:before="60"/>
    </w:pPr>
    <w:rPr>
      <w:i w:val="0"/>
      <w:sz w:val="36"/>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E93E46"/>
    <w:pPr>
      <w:tabs>
        <w:tab w:val="right" w:pos="9360"/>
      </w:tabs>
      <w:ind w:firstLine="0"/>
      <w:jc w:val="center"/>
    </w:pPr>
    <w:rPr>
      <w:b/>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541D4A"/>
    <w:rPr>
      <w:b w:val="0"/>
      <w:sz w:val="60"/>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rsid w:val="0058603D"/>
    <w:pPr>
      <w:spacing w:before="240"/>
    </w:pPr>
    <w:rPr>
      <w:sz w:val="20"/>
      <w:lang w:val="fr-FR"/>
    </w:rPr>
  </w:style>
  <w:style w:type="character" w:customStyle="1" w:styleId="NotedefinCar">
    <w:name w:val="Note de fin Car"/>
    <w:basedOn w:val="Policepardfaut"/>
    <w:link w:val="Notedefin"/>
    <w:rsid w:val="00C34171"/>
    <w:rPr>
      <w:rFonts w:ascii="Times New Roman" w:eastAsia="Times New Roman" w:hAnsi="Times New Roman"/>
      <w:lang w:eastAsia="en-US"/>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customStyle="1" w:styleId="Titlest0">
    <w:name w:val="Title_st 0"/>
    <w:basedOn w:val="Titlest"/>
    <w:rsid w:val="00C34171"/>
  </w:style>
  <w:style w:type="character" w:customStyle="1" w:styleId="TextedemacroCar">
    <w:name w:val="Texte de macro Car"/>
    <w:basedOn w:val="Policepardfaut"/>
    <w:link w:val="Textedemacro"/>
    <w:rsid w:val="00C34171"/>
    <w:rPr>
      <w:rFonts w:ascii="Times New Roman" w:eastAsia="Times New Roman" w:hAnsi="Times New Roman"/>
      <w:lang w:val="fr-CA" w:eastAsia="en-US"/>
    </w:rPr>
  </w:style>
  <w:style w:type="paragraph" w:styleId="Textedemacro">
    <w:name w:val="macro"/>
    <w:basedOn w:val="Normal"/>
    <w:link w:val="TextedemacroCar"/>
    <w:rsid w:val="00C34171"/>
    <w:rPr>
      <w:sz w:val="20"/>
    </w:rPr>
  </w:style>
  <w:style w:type="paragraph" w:styleId="Index8">
    <w:name w:val="index 8"/>
    <w:basedOn w:val="Normal"/>
    <w:rsid w:val="00C34171"/>
    <w:rPr>
      <w:sz w:val="20"/>
    </w:rPr>
  </w:style>
  <w:style w:type="paragraph" w:customStyle="1" w:styleId="notedebas">
    <w:name w:val="note de bas"/>
    <w:rsid w:val="00C34171"/>
    <w:pPr>
      <w:jc w:val="both"/>
    </w:pPr>
    <w:rPr>
      <w:rFonts w:ascii="Palatino" w:eastAsia="Times New Roman" w:hAnsi="Palatino" w:cs="Palatino"/>
      <w:noProof/>
      <w:sz w:val="16"/>
    </w:rPr>
  </w:style>
  <w:style w:type="table" w:styleId="Grilledutableau">
    <w:name w:val="Table Grid"/>
    <w:basedOn w:val="TableauNormal"/>
    <w:uiPriority w:val="99"/>
    <w:rsid w:val="00C546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dx.doi.org/doi:10.1522/030178987" TargetMode="Externa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classiques.uqac.ca/collection_histoire_SLSJ/gagnon_gaston/un_pays_neuf/un_pays_neuf.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amil_Girard@uqac.ca"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6392</Words>
  <Characters>35162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“Un document inédit sur les droits territoriaux. Le protêt des Innus du comté Saguenay en 1851.”</vt:lpstr>
    </vt:vector>
  </TitlesOfParts>
  <Manager>Jean marie Tremblay, sociologue, bénévole, 2019.</Manager>
  <Company>Les Classiques des sciences sociales</Company>
  <LinksUpToDate>false</LinksUpToDate>
  <CharactersWithSpaces>41472</CharactersWithSpaces>
  <SharedDoc>false</SharedDoc>
  <HyperlinkBase/>
  <HLinks>
    <vt:vector size="198" baseType="variant">
      <vt:variant>
        <vt:i4>3539032</vt:i4>
      </vt:variant>
      <vt:variant>
        <vt:i4>81</vt:i4>
      </vt:variant>
      <vt:variant>
        <vt:i4>0</vt:i4>
      </vt:variant>
      <vt:variant>
        <vt:i4>5</vt:i4>
      </vt:variant>
      <vt:variant>
        <vt:lpwstr>http://dx.doi.org/doi:10.1522/030178987</vt:lpwstr>
      </vt:variant>
      <vt:variant>
        <vt:lpwstr/>
      </vt:variant>
      <vt:variant>
        <vt:i4>8323113</vt:i4>
      </vt:variant>
      <vt:variant>
        <vt:i4>78</vt:i4>
      </vt:variant>
      <vt:variant>
        <vt:i4>0</vt:i4>
      </vt:variant>
      <vt:variant>
        <vt:i4>5</vt:i4>
      </vt:variant>
      <vt:variant>
        <vt:lpwstr>http://classiques.uqac.ca/collection_histoire_SLSJ/gagnon_gaston/un_pays_neuf/un_pays_neuf.html</vt:lpwstr>
      </vt:variant>
      <vt:variant>
        <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6553625</vt:i4>
      </vt:variant>
      <vt:variant>
        <vt:i4>48</vt:i4>
      </vt:variant>
      <vt:variant>
        <vt:i4>0</vt:i4>
      </vt:variant>
      <vt:variant>
        <vt:i4>5</vt:i4>
      </vt:variant>
      <vt:variant>
        <vt:lpwstr/>
      </vt:variant>
      <vt:variant>
        <vt:lpwstr>tdm</vt:lpwstr>
      </vt:variant>
      <vt:variant>
        <vt:i4>4390981</vt:i4>
      </vt:variant>
      <vt:variant>
        <vt:i4>45</vt:i4>
      </vt:variant>
      <vt:variant>
        <vt:i4>0</vt:i4>
      </vt:variant>
      <vt:variant>
        <vt:i4>5</vt:i4>
      </vt:variant>
      <vt:variant>
        <vt:lpwstr/>
      </vt:variant>
      <vt:variant>
        <vt:lpwstr>protet_1851_biblio</vt:lpwstr>
      </vt:variant>
      <vt:variant>
        <vt:i4>5701713</vt:i4>
      </vt:variant>
      <vt:variant>
        <vt:i4>42</vt:i4>
      </vt:variant>
      <vt:variant>
        <vt:i4>0</vt:i4>
      </vt:variant>
      <vt:variant>
        <vt:i4>5</vt:i4>
      </vt:variant>
      <vt:variant>
        <vt:lpwstr/>
      </vt:variant>
      <vt:variant>
        <vt:lpwstr>protet_1851_conclusion</vt:lpwstr>
      </vt:variant>
      <vt:variant>
        <vt:i4>2687003</vt:i4>
      </vt:variant>
      <vt:variant>
        <vt:i4>39</vt:i4>
      </vt:variant>
      <vt:variant>
        <vt:i4>0</vt:i4>
      </vt:variant>
      <vt:variant>
        <vt:i4>5</vt:i4>
      </vt:variant>
      <vt:variant>
        <vt:lpwstr/>
      </vt:variant>
      <vt:variant>
        <vt:lpwstr>protet_1851_7</vt:lpwstr>
      </vt:variant>
      <vt:variant>
        <vt:i4>2687002</vt:i4>
      </vt:variant>
      <vt:variant>
        <vt:i4>36</vt:i4>
      </vt:variant>
      <vt:variant>
        <vt:i4>0</vt:i4>
      </vt:variant>
      <vt:variant>
        <vt:i4>5</vt:i4>
      </vt:variant>
      <vt:variant>
        <vt:lpwstr/>
      </vt:variant>
      <vt:variant>
        <vt:lpwstr>protet_1851_6</vt:lpwstr>
      </vt:variant>
      <vt:variant>
        <vt:i4>2687001</vt:i4>
      </vt:variant>
      <vt:variant>
        <vt:i4>33</vt:i4>
      </vt:variant>
      <vt:variant>
        <vt:i4>0</vt:i4>
      </vt:variant>
      <vt:variant>
        <vt:i4>5</vt:i4>
      </vt:variant>
      <vt:variant>
        <vt:lpwstr/>
      </vt:variant>
      <vt:variant>
        <vt:lpwstr>protet_1851_5</vt:lpwstr>
      </vt:variant>
      <vt:variant>
        <vt:i4>2687000</vt:i4>
      </vt:variant>
      <vt:variant>
        <vt:i4>30</vt:i4>
      </vt:variant>
      <vt:variant>
        <vt:i4>0</vt:i4>
      </vt:variant>
      <vt:variant>
        <vt:i4>5</vt:i4>
      </vt:variant>
      <vt:variant>
        <vt:lpwstr/>
      </vt:variant>
      <vt:variant>
        <vt:lpwstr>protet_1851_4</vt:lpwstr>
      </vt:variant>
      <vt:variant>
        <vt:i4>2687007</vt:i4>
      </vt:variant>
      <vt:variant>
        <vt:i4>27</vt:i4>
      </vt:variant>
      <vt:variant>
        <vt:i4>0</vt:i4>
      </vt:variant>
      <vt:variant>
        <vt:i4>5</vt:i4>
      </vt:variant>
      <vt:variant>
        <vt:lpwstr/>
      </vt:variant>
      <vt:variant>
        <vt:lpwstr>protet_1851_3</vt:lpwstr>
      </vt:variant>
      <vt:variant>
        <vt:i4>2687006</vt:i4>
      </vt:variant>
      <vt:variant>
        <vt:i4>24</vt:i4>
      </vt:variant>
      <vt:variant>
        <vt:i4>0</vt:i4>
      </vt:variant>
      <vt:variant>
        <vt:i4>5</vt:i4>
      </vt:variant>
      <vt:variant>
        <vt:lpwstr/>
      </vt:variant>
      <vt:variant>
        <vt:lpwstr>protet_1851_2</vt:lpwstr>
      </vt:variant>
      <vt:variant>
        <vt:i4>2687005</vt:i4>
      </vt:variant>
      <vt:variant>
        <vt:i4>21</vt:i4>
      </vt:variant>
      <vt:variant>
        <vt:i4>0</vt:i4>
      </vt:variant>
      <vt:variant>
        <vt:i4>5</vt:i4>
      </vt:variant>
      <vt:variant>
        <vt:lpwstr/>
      </vt:variant>
      <vt:variant>
        <vt:lpwstr>protet_1851_1</vt:lpwstr>
      </vt:variant>
      <vt:variant>
        <vt:i4>3473502</vt:i4>
      </vt:variant>
      <vt:variant>
        <vt:i4>18</vt:i4>
      </vt:variant>
      <vt:variant>
        <vt:i4>0</vt:i4>
      </vt:variant>
      <vt:variant>
        <vt:i4>5</vt:i4>
      </vt:variant>
      <vt:variant>
        <vt:lpwstr/>
      </vt:variant>
      <vt:variant>
        <vt:lpwstr>protet_1851_intro</vt:lpwstr>
      </vt:variant>
      <vt:variant>
        <vt:i4>5636138</vt:i4>
      </vt:variant>
      <vt:variant>
        <vt:i4>15</vt:i4>
      </vt:variant>
      <vt:variant>
        <vt:i4>0</vt:i4>
      </vt:variant>
      <vt:variant>
        <vt:i4>5</vt:i4>
      </vt:variant>
      <vt:variant>
        <vt:lpwstr>mailto:Camil_Girard@uqac.ca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2428</vt:i4>
      </vt:variant>
      <vt:variant>
        <vt:i4>1029</vt:i4>
      </vt:variant>
      <vt:variant>
        <vt:i4>1</vt:i4>
      </vt:variant>
      <vt:variant>
        <vt:lpwstr>css_logo_gris</vt:lpwstr>
      </vt:variant>
      <vt:variant>
        <vt:lpwstr/>
      </vt:variant>
      <vt:variant>
        <vt:i4>5111880</vt:i4>
      </vt:variant>
      <vt:variant>
        <vt:i4>2716</vt:i4>
      </vt:variant>
      <vt:variant>
        <vt:i4>1030</vt:i4>
      </vt:variant>
      <vt:variant>
        <vt:i4>1</vt:i4>
      </vt:variant>
      <vt:variant>
        <vt:lpwstr>UQAC_logo_2018</vt:lpwstr>
      </vt:variant>
      <vt:variant>
        <vt:lpwstr/>
      </vt:variant>
      <vt:variant>
        <vt:i4>4194334</vt:i4>
      </vt:variant>
      <vt:variant>
        <vt:i4>5008</vt:i4>
      </vt:variant>
      <vt:variant>
        <vt:i4>1026</vt:i4>
      </vt:variant>
      <vt:variant>
        <vt:i4>1</vt:i4>
      </vt:variant>
      <vt:variant>
        <vt:lpwstr>Boite_aux_lettres_clair</vt:lpwstr>
      </vt:variant>
      <vt:variant>
        <vt:lpwstr/>
      </vt:variant>
      <vt:variant>
        <vt:i4>1703963</vt:i4>
      </vt:variant>
      <vt:variant>
        <vt:i4>5467</vt:i4>
      </vt:variant>
      <vt:variant>
        <vt:i4>1025</vt:i4>
      </vt:variant>
      <vt:variant>
        <vt:i4>1</vt:i4>
      </vt:variant>
      <vt:variant>
        <vt:lpwstr>fait_sur_mac</vt:lpwstr>
      </vt:variant>
      <vt:variant>
        <vt:lpwstr/>
      </vt:variant>
      <vt:variant>
        <vt:i4>8192106</vt:i4>
      </vt:variant>
      <vt:variant>
        <vt:i4>5583</vt:i4>
      </vt:variant>
      <vt:variant>
        <vt:i4>1027</vt:i4>
      </vt:variant>
      <vt:variant>
        <vt:i4>1</vt:i4>
      </vt:variant>
      <vt:variant>
        <vt:lpwstr>Protet_des_Innus_L1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document inédit sur les droits territoriaux. Le protêt des Innus du comté Saguenay en 1851.”</dc:title>
  <dc:subject/>
  <dc:creator>Camil Girard, 2003.</dc:creator>
  <cp:keywords>classiques.sc.soc@gmail.com</cp:keywords>
  <cp:lastModifiedBy>Microsoft Office User</cp:lastModifiedBy>
  <cp:revision>2</cp:revision>
  <cp:lastPrinted>2001-08-26T19:33:00Z</cp:lastPrinted>
  <dcterms:created xsi:type="dcterms:W3CDTF">2019-09-12T15:51:00Z</dcterms:created>
  <dcterms:modified xsi:type="dcterms:W3CDTF">2019-09-12T15:51:00Z</dcterms:modified>
  <cp:category>Jean-Marie Tremblay, fondateur, 1993.</cp:category>
</cp:coreProperties>
</file>